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222222"/>
          <w:sz w:val="38"/>
        </w:rPr>
        <w:t>Tiering and Cleanliness: The Intersection</w:t>
      </w:r>
    </w:p>
    <w:p>
      <w:pPr>
        <w:spacing w:after="200"/>
      </w:pPr>
      <w:r>
        <w:rPr>
          <w:color w:val="555555"/>
          <w:sz w:val="20"/>
        </w:rPr>
        <w:t>How two separate datasets became one if then decision path</w:t>
      </w:r>
    </w:p>
    <w:p>
      <w:pPr>
        <w:spacing w:after="240"/>
        <w:pBdr>
          <w:bottom w:val="single" w:sz="18" w:color="FF8200"/>
        </w:pBdr>
      </w:pPr>
    </w:p>
    <w:p>
      <w:pPr>
        <w:spacing w:before="260" w:after="80"/>
      </w:pPr>
      <w:r>
        <w:rPr>
          <w:b/>
          <w:color w:val="222222"/>
          <w:sz w:val="20"/>
        </w:rPr>
        <w:t>WHAT WE SET OUT TO SOLVE</w:t>
      </w:r>
    </w:p>
    <w:p>
      <w:r>
        <w:rPr>
          <w:color w:val="222222"/>
        </w:rPr>
        <w:t>We had two problems and two separate bodies of data. Management staffing did not track utilization, so we built a tiering model from attendance. Cleanliness was failing inconsistently across the network, so we built a cohort model from payroll and wage data. Each answered its own question well. Neither told an operator what to do on Monday morning.</w:t>
      </w:r>
    </w:p>
    <w:p>
      <w:r>
        <w:rPr>
          <w:color w:val="222222"/>
        </w:rPr>
        <w:t>The reason is that the two models describe different things. Tiering describes what a studio should have. The cleanliness hierarchy describes what a studio should do next. A District Manager looking at both was left to reconcile them by hand, studio by studio, 221 times.</w:t>
      </w:r>
    </w:p>
    <w:p>
      <w:pPr>
        <w:spacing w:before="120" w:after="200"/>
        <w:ind w:left="216"/>
        <w:pBdr>
          <w:left w:val="single" w:sz="18" w:color="FF8200" w:space="8"/>
        </w:pBdr>
      </w:pPr>
      <w:r>
        <w:rPr>
          <w:b/>
          <w:color w:val="222222"/>
        </w:rPr>
        <w:t xml:space="preserve">What we built. </w:t>
      </w:r>
      <w:r>
        <w:rPr>
          <w:color w:val="222222"/>
          <w:sz w:val="20"/>
        </w:rPr>
        <w:t>We took both sets of data and turned them into a single if then path. Every studio now resolves to one tier and one ordered set of actions, and the two are connected rather than parallel.</w:t>
      </w:r>
    </w:p>
    <w:p>
      <w:pPr>
        <w:spacing w:before="260" w:after="80"/>
      </w:pPr>
      <w:r>
        <w:rPr>
          <w:b/>
          <w:color w:val="222222"/>
          <w:sz w:val="20"/>
        </w:rPr>
        <w:t>THE ROLE THAT CONNECTS THEM</w:t>
      </w:r>
    </w:p>
    <w:p>
      <w:r>
        <w:rPr>
          <w:color w:val="222222"/>
        </w:rPr>
        <w:t>The Studio Coordinator appears in both models, and that is the hinge.</w:t>
      </w:r>
    </w:p>
    <w:p>
      <w:r>
        <w:rPr>
          <w:color w:val="222222"/>
        </w:rPr>
        <w:t>In the tiering model, the Coordinator is a staffing requirement that scales with volume. Tier 1 and Tier 2 studios require a full time Coordinator plus a part time Coordinator. Tier 3 requires one full time. Tier 4 and Tier 5 require part time at 25 and 15 hours.</w:t>
      </w:r>
    </w:p>
    <w:p>
      <w:r>
        <w:rPr>
          <w:color w:val="222222"/>
        </w:rPr>
        <w:t>In the cleanliness model, the Coordinator is the gate. That role recruits, schedules, and manages the support team. A studio without one cannot convert approved cleaning labor into staffed shifts. Every downstream intervention depends on it.</w:t>
      </w:r>
    </w:p>
    <w:p>
      <w:r>
        <w:rPr>
          <w:color w:val="222222"/>
        </w:rPr>
        <w:t>So the same missing role is simultaneously a tiering compliance gap and a cleanliness blocker. That is the intersection, and it is why the two frameworks cannot be sequenced independently.</w:t>
      </w:r>
    </w:p>
    <w:p>
      <w:pPr>
        <w:spacing w:before="260" w:after="80"/>
      </w:pPr>
      <w:r>
        <w:rPr>
          <w:b/>
          <w:color w:val="222222"/>
          <w:sz w:val="20"/>
        </w:rPr>
        <w:t>THE IF THEN LOGIC</w:t>
      </w:r>
    </w:p>
    <w:p>
      <w:r>
        <w:rPr>
          <w:color w:val="222222"/>
        </w:rPr>
        <w:t>Every studio runs through the same test, in the same order. The first condition that fails determines the first action, and the remaining failed conditions determine what follows.</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648"/>
            <w:shd w:val="clear" w:color="auto" w:fill="F2F2F2"/>
          </w:tcPr>
          <w:p>
            <w:pPr>
              <w:spacing w:after="40"/>
            </w:pPr>
            <w:r/>
            <w:r>
              <w:rPr>
                <w:b/>
                <w:color w:val="222222"/>
                <w:sz w:val="17"/>
              </w:rPr>
              <w:t>Test</w:t>
            </w:r>
          </w:p>
        </w:tc>
        <w:tc>
          <w:tcPr>
            <w:tcW w:type="dxa" w:w="3168"/>
            <w:shd w:val="clear" w:color="auto" w:fill="F2F2F2"/>
          </w:tcPr>
          <w:p>
            <w:pPr>
              <w:spacing w:after="40"/>
            </w:pPr>
            <w:r/>
            <w:r>
              <w:rPr>
                <w:b/>
                <w:color w:val="222222"/>
                <w:sz w:val="17"/>
              </w:rPr>
              <w:t>If</w:t>
            </w:r>
          </w:p>
        </w:tc>
        <w:tc>
          <w:tcPr>
            <w:tcW w:type="dxa" w:w="3312"/>
            <w:shd w:val="clear" w:color="auto" w:fill="F2F2F2"/>
          </w:tcPr>
          <w:p>
            <w:pPr>
              <w:spacing w:after="40"/>
            </w:pPr>
            <w:r/>
            <w:r>
              <w:rPr>
                <w:b/>
                <w:color w:val="222222"/>
                <w:sz w:val="17"/>
              </w:rPr>
              <w:t>Then</w:t>
            </w:r>
          </w:p>
        </w:tc>
        <w:tc>
          <w:tcPr>
            <w:tcW w:type="dxa" w:w="1008"/>
            <w:shd w:val="clear" w:color="auto" w:fill="F2F2F2"/>
          </w:tcPr>
          <w:p>
            <w:pPr>
              <w:spacing w:after="40"/>
            </w:pPr>
            <w:r/>
            <w:r>
              <w:rPr>
                <w:b/>
                <w:color w:val="222222"/>
                <w:sz w:val="17"/>
              </w:rPr>
              <w:t>Studios at this step</w:t>
            </w:r>
          </w:p>
        </w:tc>
      </w:tr>
      <w:tr>
        <w:tc>
          <w:tcPr>
            <w:tcW w:type="dxa" w:w="648"/>
          </w:tcPr>
          <w:p>
            <w:pPr>
              <w:spacing w:after="40"/>
            </w:pPr>
            <w:r/>
            <w:r>
              <w:rPr>
                <w:color w:val="222222"/>
                <w:sz w:val="17"/>
              </w:rPr>
              <w:t>1</w:t>
            </w:r>
          </w:p>
        </w:tc>
        <w:tc>
          <w:tcPr>
            <w:tcW w:type="dxa" w:w="3168"/>
          </w:tcPr>
          <w:p>
            <w:pPr>
              <w:spacing w:after="40"/>
            </w:pPr>
            <w:r/>
            <w:r>
              <w:rPr>
                <w:color w:val="222222"/>
                <w:sz w:val="17"/>
              </w:rPr>
              <w:t>The studio already meets 39 support team members or 59 cleaning hours</w:t>
            </w:r>
          </w:p>
        </w:tc>
        <w:tc>
          <w:tcPr>
            <w:tcW w:type="dxa" w:w="3312"/>
          </w:tcPr>
          <w:p>
            <w:pPr>
              <w:spacing w:after="40"/>
            </w:pPr>
            <w:r/>
            <w:r>
              <w:rPr>
                <w:color w:val="222222"/>
                <w:sz w:val="17"/>
              </w:rPr>
              <w:t>Leave it alone</w:t>
            </w:r>
          </w:p>
        </w:tc>
        <w:tc>
          <w:tcPr>
            <w:tcW w:type="dxa" w:w="1008"/>
          </w:tcPr>
          <w:p>
            <w:pPr>
              <w:spacing w:after="40"/>
            </w:pPr>
            <w:r/>
            <w:r>
              <w:rPr>
                <w:color w:val="222222"/>
                <w:sz w:val="17"/>
              </w:rPr>
              <w:t>2</w:t>
            </w:r>
          </w:p>
        </w:tc>
      </w:tr>
      <w:tr>
        <w:tc>
          <w:tcPr>
            <w:tcW w:type="dxa" w:w="648"/>
          </w:tcPr>
          <w:p>
            <w:pPr>
              <w:spacing w:after="40"/>
            </w:pPr>
            <w:r/>
            <w:r>
              <w:rPr>
                <w:color w:val="222222"/>
                <w:sz w:val="17"/>
              </w:rPr>
              <w:t>2</w:t>
            </w:r>
          </w:p>
        </w:tc>
        <w:tc>
          <w:tcPr>
            <w:tcW w:type="dxa" w:w="3168"/>
          </w:tcPr>
          <w:p>
            <w:pPr>
              <w:spacing w:after="40"/>
            </w:pPr>
            <w:r/>
            <w:r>
              <w:rPr>
                <w:color w:val="222222"/>
                <w:sz w:val="17"/>
              </w:rPr>
              <w:t>It has no Studio Coordinator on payroll</w:t>
            </w:r>
          </w:p>
        </w:tc>
        <w:tc>
          <w:tcPr>
            <w:tcW w:type="dxa" w:w="3312"/>
          </w:tcPr>
          <w:p>
            <w:pPr>
              <w:spacing w:after="40"/>
            </w:pPr>
            <w:r/>
            <w:r>
              <w:rPr>
                <w:color w:val="222222"/>
                <w:sz w:val="17"/>
              </w:rPr>
              <w:t>Hire the Coordinator. Nothing downstream can start.</w:t>
            </w:r>
          </w:p>
        </w:tc>
        <w:tc>
          <w:tcPr>
            <w:tcW w:type="dxa" w:w="1008"/>
          </w:tcPr>
          <w:p>
            <w:pPr>
              <w:spacing w:after="40"/>
            </w:pPr>
            <w:r/>
            <w:r>
              <w:rPr>
                <w:color w:val="222222"/>
                <w:sz w:val="17"/>
              </w:rPr>
              <w:t>42</w:t>
            </w:r>
          </w:p>
        </w:tc>
      </w:tr>
      <w:tr>
        <w:tc>
          <w:tcPr>
            <w:tcW w:type="dxa" w:w="648"/>
          </w:tcPr>
          <w:p>
            <w:pPr>
              <w:spacing w:after="40"/>
            </w:pPr>
            <w:r/>
            <w:r>
              <w:rPr>
                <w:color w:val="222222"/>
                <w:sz w:val="17"/>
              </w:rPr>
              <w:t>3</w:t>
            </w:r>
          </w:p>
        </w:tc>
        <w:tc>
          <w:tcPr>
            <w:tcW w:type="dxa" w:w="3168"/>
          </w:tcPr>
          <w:p>
            <w:pPr>
              <w:spacing w:after="40"/>
            </w:pPr>
            <w:r/>
            <w:r>
              <w:rPr>
                <w:color w:val="222222"/>
                <w:sz w:val="17"/>
              </w:rPr>
              <w:t>It has a Coordinator but pay sits below the market maximum</w:t>
            </w:r>
          </w:p>
        </w:tc>
        <w:tc>
          <w:tcPr>
            <w:tcW w:type="dxa" w:w="3312"/>
          </w:tcPr>
          <w:p>
            <w:pPr>
              <w:spacing w:after="40"/>
            </w:pPr>
            <w:r/>
            <w:r>
              <w:rPr>
                <w:color w:val="222222"/>
                <w:sz w:val="17"/>
              </w:rPr>
              <w:t>Correct wages first. Open positions will not fill otherwise.</w:t>
            </w:r>
          </w:p>
        </w:tc>
        <w:tc>
          <w:tcPr>
            <w:tcW w:type="dxa" w:w="1008"/>
          </w:tcPr>
          <w:p>
            <w:pPr>
              <w:spacing w:after="40"/>
            </w:pPr>
            <w:r/>
            <w:r>
              <w:rPr>
                <w:color w:val="222222"/>
                <w:sz w:val="17"/>
              </w:rPr>
              <w:t>39</w:t>
            </w:r>
          </w:p>
        </w:tc>
      </w:tr>
      <w:tr>
        <w:tc>
          <w:tcPr>
            <w:tcW w:type="dxa" w:w="648"/>
          </w:tcPr>
          <w:p>
            <w:pPr>
              <w:spacing w:after="40"/>
            </w:pPr>
            <w:r/>
            <w:r>
              <w:rPr>
                <w:color w:val="222222"/>
                <w:sz w:val="17"/>
              </w:rPr>
              <w:t>4</w:t>
            </w:r>
          </w:p>
        </w:tc>
        <w:tc>
          <w:tcPr>
            <w:tcW w:type="dxa" w:w="3168"/>
          </w:tcPr>
          <w:p>
            <w:pPr>
              <w:spacing w:after="40"/>
            </w:pPr>
            <w:r/>
            <w:r>
              <w:rPr>
                <w:color w:val="222222"/>
                <w:sz w:val="17"/>
              </w:rPr>
              <w:t>It has a Coordinator and competitive pay</w:t>
            </w:r>
          </w:p>
        </w:tc>
        <w:tc>
          <w:tcPr>
            <w:tcW w:type="dxa" w:w="3312"/>
          </w:tcPr>
          <w:p>
            <w:pPr>
              <w:spacing w:after="40"/>
            </w:pPr>
            <w:r/>
            <w:r>
              <w:rPr>
                <w:color w:val="222222"/>
                <w:sz w:val="17"/>
              </w:rPr>
              <w:t>Adjust weekly hours. This is the primary lever.</w:t>
            </w:r>
          </w:p>
        </w:tc>
        <w:tc>
          <w:tcPr>
            <w:tcW w:type="dxa" w:w="1008"/>
          </w:tcPr>
          <w:p>
            <w:pPr>
              <w:spacing w:after="40"/>
            </w:pPr>
            <w:r/>
            <w:r>
              <w:rPr>
                <w:color w:val="222222"/>
                <w:sz w:val="17"/>
              </w:rPr>
              <w:t>138</w:t>
            </w:r>
          </w:p>
        </w:tc>
      </w:tr>
      <w:tr>
        <w:tc>
          <w:tcPr>
            <w:tcW w:type="dxa" w:w="648"/>
          </w:tcPr>
          <w:p>
            <w:pPr>
              <w:spacing w:after="40"/>
            </w:pPr>
            <w:r/>
            <w:r>
              <w:rPr>
                <w:color w:val="222222"/>
                <w:sz w:val="17"/>
              </w:rPr>
              <w:t>5</w:t>
            </w:r>
          </w:p>
        </w:tc>
        <w:tc>
          <w:tcPr>
            <w:tcW w:type="dxa" w:w="3168"/>
          </w:tcPr>
          <w:p>
            <w:pPr>
              <w:spacing w:after="40"/>
            </w:pPr>
            <w:r/>
            <w:r>
              <w:rPr>
                <w:color w:val="222222"/>
                <w:sz w:val="17"/>
              </w:rPr>
              <w:t>Wage and hour levers are exhausted, the studio is profitable, and the gap is too wide for hiring alone</w:t>
            </w:r>
          </w:p>
        </w:tc>
        <w:tc>
          <w:tcPr>
            <w:tcW w:type="dxa" w:w="3312"/>
          </w:tcPr>
          <w:p>
            <w:pPr>
              <w:spacing w:after="40"/>
            </w:pPr>
            <w:r/>
            <w:r>
              <w:rPr>
                <w:color w:val="222222"/>
                <w:sz w:val="17"/>
              </w:rPr>
              <w:t>Evaluate dedicated cleaners</w:t>
            </w:r>
          </w:p>
        </w:tc>
        <w:tc>
          <w:tcPr>
            <w:tcW w:type="dxa" w:w="1008"/>
          </w:tcPr>
          <w:p>
            <w:pPr>
              <w:spacing w:after="40"/>
            </w:pPr>
            <w:r/>
            <w:r>
              <w:rPr>
                <w:color w:val="222222"/>
                <w:sz w:val="17"/>
              </w:rPr>
              <w:t>0</w:t>
            </w:r>
          </w:p>
        </w:tc>
      </w:tr>
    </w:tbl>
    <w:p>
      <w:pPr>
        <w:spacing w:after="40"/>
      </w:pPr>
    </w:p>
    <w:p>
      <w:r>
        <w:rPr>
          <w:color w:val="222222"/>
        </w:rPr>
        <w:t>The tier does not change the test and it does not change the standard. What it changes is what compliance looks like at test 2, because the Coordinator requirement itself is tier dependent. A Tier 1 studio with one Coordinator passes test 2 for cleanliness purposes but is still short of its tier requirement, which calls for two.</w:t>
      </w:r>
    </w:p>
    <w:p>
      <w:pPr>
        <w:spacing w:before="260" w:after="80"/>
      </w:pPr>
      <w:r>
        <w:rPr>
          <w:b/>
          <w:color w:val="222222"/>
          <w:sz w:val="20"/>
        </w:rPr>
        <w:t>ONE STEP IS RARELY THE WHOLE JOB</w:t>
      </w:r>
    </w:p>
    <w:p>
      <w:r>
        <w:rPr>
          <w:color w:val="222222"/>
        </w:rPr>
        <w:t>The step counts above place each studio at its first required action. That is correct for sequencing but it understates the work. A studio without a Coordinator that also pays below market needs three interventions, not one.</w:t>
      </w:r>
    </w:p>
    <w:tbl>
      <w:tblPr>
        <w:tblStyle w:val="TableGrid"/>
        <w:tblW w:type="auto" w:w="0"/>
        <w:jc w:val="center"/>
        <w:tblLook w:firstColumn="1" w:firstRow="1" w:lastColumn="0" w:lastRow="0" w:noHBand="0" w:noVBand="1" w:val="04A0"/>
      </w:tblPr>
      <w:tblGrid>
        <w:gridCol w:w="3216"/>
        <w:gridCol w:w="3216"/>
        <w:gridCol w:w="3216"/>
      </w:tblGrid>
      <w:tr>
        <w:tc>
          <w:tcPr>
            <w:tcW w:type="dxa" w:w="1872"/>
            <w:shd w:val="clear" w:color="auto" w:fill="F2F2F2"/>
          </w:tcPr>
          <w:p>
            <w:pPr>
              <w:spacing w:after="40"/>
            </w:pPr>
            <w:r/>
            <w:r>
              <w:rPr>
                <w:b/>
                <w:color w:val="222222"/>
                <w:sz w:val="17"/>
              </w:rPr>
              <w:t>Actions required</w:t>
            </w:r>
          </w:p>
        </w:tc>
        <w:tc>
          <w:tcPr>
            <w:tcW w:type="dxa" w:w="1296"/>
            <w:shd w:val="clear" w:color="auto" w:fill="F2F2F2"/>
          </w:tcPr>
          <w:p>
            <w:pPr>
              <w:spacing w:after="40"/>
            </w:pPr>
            <w:r/>
            <w:r>
              <w:rPr>
                <w:b/>
                <w:color w:val="222222"/>
                <w:sz w:val="17"/>
              </w:rPr>
              <w:t>Studios</w:t>
            </w:r>
          </w:p>
        </w:tc>
        <w:tc>
          <w:tcPr>
            <w:tcW w:type="dxa" w:w="4896"/>
            <w:shd w:val="clear" w:color="auto" w:fill="F2F2F2"/>
          </w:tcPr>
          <w:p>
            <w:pPr>
              <w:spacing w:after="40"/>
            </w:pPr>
            <w:r/>
            <w:r>
              <w:rPr>
                <w:b/>
                <w:color w:val="222222"/>
                <w:sz w:val="17"/>
              </w:rPr>
              <w:t>What it means</w:t>
            </w:r>
          </w:p>
        </w:tc>
      </w:tr>
      <w:tr>
        <w:tc>
          <w:tcPr>
            <w:tcW w:type="dxa" w:w="1872"/>
          </w:tcPr>
          <w:p>
            <w:pPr>
              <w:spacing w:after="40"/>
            </w:pPr>
            <w:r/>
            <w:r>
              <w:rPr>
                <w:color w:val="222222"/>
                <w:sz w:val="17"/>
              </w:rPr>
              <w:t>None</w:t>
            </w:r>
          </w:p>
        </w:tc>
        <w:tc>
          <w:tcPr>
            <w:tcW w:type="dxa" w:w="1296"/>
          </w:tcPr>
          <w:p>
            <w:pPr>
              <w:spacing w:after="40"/>
            </w:pPr>
            <w:r/>
            <w:r>
              <w:rPr>
                <w:color w:val="222222"/>
                <w:sz w:val="17"/>
              </w:rPr>
              <w:t>2</w:t>
            </w:r>
          </w:p>
        </w:tc>
        <w:tc>
          <w:tcPr>
            <w:tcW w:type="dxa" w:w="4896"/>
          </w:tcPr>
          <w:p>
            <w:pPr>
              <w:spacing w:after="40"/>
            </w:pPr>
            <w:r/>
            <w:r>
              <w:rPr>
                <w:color w:val="222222"/>
                <w:sz w:val="17"/>
              </w:rPr>
              <w:t>Already at the standard</w:t>
            </w:r>
          </w:p>
        </w:tc>
      </w:tr>
      <w:tr>
        <w:tc>
          <w:tcPr>
            <w:tcW w:type="dxa" w:w="1872"/>
          </w:tcPr>
          <w:p>
            <w:pPr>
              <w:spacing w:after="40"/>
            </w:pPr>
            <w:r/>
            <w:r>
              <w:rPr>
                <w:color w:val="222222"/>
                <w:sz w:val="17"/>
              </w:rPr>
              <w:t>One</w:t>
            </w:r>
          </w:p>
        </w:tc>
        <w:tc>
          <w:tcPr>
            <w:tcW w:type="dxa" w:w="1296"/>
          </w:tcPr>
          <w:p>
            <w:pPr>
              <w:spacing w:after="40"/>
            </w:pPr>
            <w:r/>
            <w:r>
              <w:rPr>
                <w:color w:val="222222"/>
                <w:sz w:val="17"/>
              </w:rPr>
              <w:t>138</w:t>
            </w:r>
          </w:p>
        </w:tc>
        <w:tc>
          <w:tcPr>
            <w:tcW w:type="dxa" w:w="4896"/>
          </w:tcPr>
          <w:p>
            <w:pPr>
              <w:spacing w:after="40"/>
            </w:pPr>
            <w:r/>
            <w:r>
              <w:rPr>
                <w:color w:val="222222"/>
                <w:sz w:val="17"/>
              </w:rPr>
              <w:t>A single lever closes the gap</w:t>
            </w:r>
          </w:p>
        </w:tc>
      </w:tr>
      <w:tr>
        <w:tc>
          <w:tcPr>
            <w:tcW w:type="dxa" w:w="1872"/>
          </w:tcPr>
          <w:p>
            <w:pPr>
              <w:spacing w:after="40"/>
            </w:pPr>
            <w:r/>
            <w:r>
              <w:rPr>
                <w:color w:val="222222"/>
                <w:sz w:val="17"/>
              </w:rPr>
              <w:t>Two</w:t>
            </w:r>
          </w:p>
        </w:tc>
        <w:tc>
          <w:tcPr>
            <w:tcW w:type="dxa" w:w="1296"/>
          </w:tcPr>
          <w:p>
            <w:pPr>
              <w:spacing w:after="40"/>
            </w:pPr>
            <w:r/>
            <w:r>
              <w:rPr>
                <w:color w:val="222222"/>
                <w:sz w:val="17"/>
              </w:rPr>
              <w:t>69</w:t>
            </w:r>
          </w:p>
        </w:tc>
        <w:tc>
          <w:tcPr>
            <w:tcW w:type="dxa" w:w="4896"/>
          </w:tcPr>
          <w:p>
            <w:pPr>
              <w:spacing w:after="40"/>
            </w:pPr>
            <w:r/>
            <w:r>
              <w:rPr>
                <w:color w:val="222222"/>
                <w:sz w:val="17"/>
              </w:rPr>
              <w:t>Typically a Coordinator hire or a wage correction, then hours</w:t>
            </w:r>
          </w:p>
        </w:tc>
      </w:tr>
      <w:tr>
        <w:tc>
          <w:tcPr>
            <w:tcW w:type="dxa" w:w="1872"/>
          </w:tcPr>
          <w:p>
            <w:pPr>
              <w:spacing w:after="40"/>
            </w:pPr>
            <w:r/>
            <w:r>
              <w:rPr>
                <w:color w:val="222222"/>
                <w:sz w:val="17"/>
              </w:rPr>
              <w:t>Three</w:t>
            </w:r>
          </w:p>
        </w:tc>
        <w:tc>
          <w:tcPr>
            <w:tcW w:type="dxa" w:w="1296"/>
          </w:tcPr>
          <w:p>
            <w:pPr>
              <w:spacing w:after="40"/>
            </w:pPr>
            <w:r/>
            <w:r>
              <w:rPr>
                <w:color w:val="222222"/>
                <w:sz w:val="17"/>
              </w:rPr>
              <w:t>12</w:t>
            </w:r>
          </w:p>
        </w:tc>
        <w:tc>
          <w:tcPr>
            <w:tcW w:type="dxa" w:w="4896"/>
          </w:tcPr>
          <w:p>
            <w:pPr>
              <w:spacing w:after="40"/>
            </w:pPr>
            <w:r/>
            <w:r>
              <w:rPr>
                <w:color w:val="222222"/>
                <w:sz w:val="17"/>
              </w:rPr>
              <w:t>Coordinator, then wages, then hours. Effectively three projects.</w:t>
            </w:r>
          </w:p>
        </w:tc>
      </w:tr>
    </w:tbl>
    <w:p>
      <w:pPr>
        <w:spacing w:after="40"/>
      </w:pPr>
    </w:p>
    <w:p>
      <w:pPr>
        <w:spacing w:before="120" w:after="200"/>
        <w:ind w:left="216"/>
        <w:pBdr>
          <w:left w:val="single" w:sz="18" w:color="FF8200" w:space="8"/>
        </w:pBdr>
      </w:pPr>
      <w:r>
        <w:rPr>
          <w:b/>
          <w:color w:val="222222"/>
        </w:rPr>
        <w:t xml:space="preserve">The real scope. </w:t>
      </w:r>
      <w:r>
        <w:rPr>
          <w:color w:val="222222"/>
          <w:sz w:val="20"/>
        </w:rPr>
        <w:t>81 studios require two or more interventions, which is more than a third of the network. Across all 221 studios the plan calls for 312 distinct actions.</w:t>
      </w:r>
    </w:p>
    <w:p>
      <w:r>
        <w:rPr>
          <w:color w:val="222222"/>
        </w:rPr>
        <w:t>The multi action studios spread across every tier: Tier 1 carries 3, Tier 2 carries 20, Tier 3 carries 20, Tier 4 carries 26, and Tier 5 carries 12. This is not a small studio problem.</w:t>
      </w:r>
    </w:p>
    <w:p>
      <w:pPr>
        <w:spacing w:before="260" w:after="80"/>
      </w:pPr>
      <w:r>
        <w:rPr>
          <w:b/>
          <w:color w:val="222222"/>
          <w:sz w:val="20"/>
        </w:rPr>
        <w:t>WHERE THE TWO VIEWS MEET</w:t>
      </w:r>
    </w:p>
    <w:p>
      <w:r>
        <w:rPr>
          <w:color w:val="222222"/>
        </w:rPr>
        <w:t>Cross tabulating first action against tier shows how the work distributes across the network.</w:t>
      </w:r>
    </w:p>
    <w:tbl>
      <w:tblPr>
        <w:tblStyle w:val="TableGrid"/>
        <w:tblW w:type="auto" w:w="0"/>
        <w:jc w:val="center"/>
        <w:tblLook w:firstColumn="1" w:firstRow="1" w:lastColumn="0" w:lastRow="0" w:noHBand="0" w:noVBand="1" w:val="04A0"/>
      </w:tblPr>
      <w:tblGrid>
        <w:gridCol w:w="1378"/>
        <w:gridCol w:w="1378"/>
        <w:gridCol w:w="1378"/>
        <w:gridCol w:w="1378"/>
        <w:gridCol w:w="1378"/>
        <w:gridCol w:w="1378"/>
        <w:gridCol w:w="1378"/>
      </w:tblGrid>
      <w:tr>
        <w:tc>
          <w:tcPr>
            <w:tcW w:type="dxa" w:w="2304"/>
            <w:shd w:val="clear" w:color="auto" w:fill="F2F2F2"/>
          </w:tcPr>
          <w:p>
            <w:pPr>
              <w:spacing w:after="40"/>
            </w:pPr>
            <w:r/>
            <w:r>
              <w:rPr>
                <w:b/>
                <w:color w:val="222222"/>
                <w:sz w:val="17"/>
              </w:rPr>
              <w:t>First action</w:t>
            </w:r>
          </w:p>
        </w:tc>
        <w:tc>
          <w:tcPr>
            <w:tcW w:type="dxa" w:w="864"/>
            <w:shd w:val="clear" w:color="auto" w:fill="F2F2F2"/>
          </w:tcPr>
          <w:p>
            <w:pPr>
              <w:spacing w:after="40"/>
            </w:pPr>
            <w:r/>
            <w:r>
              <w:rPr>
                <w:b/>
                <w:color w:val="222222"/>
                <w:sz w:val="17"/>
              </w:rPr>
              <w:t>T1</w:t>
            </w:r>
          </w:p>
        </w:tc>
        <w:tc>
          <w:tcPr>
            <w:tcW w:type="dxa" w:w="864"/>
            <w:shd w:val="clear" w:color="auto" w:fill="F2F2F2"/>
          </w:tcPr>
          <w:p>
            <w:pPr>
              <w:spacing w:after="40"/>
            </w:pPr>
            <w:r/>
            <w:r>
              <w:rPr>
                <w:b/>
                <w:color w:val="222222"/>
                <w:sz w:val="17"/>
              </w:rPr>
              <w:t>T2</w:t>
            </w:r>
          </w:p>
        </w:tc>
        <w:tc>
          <w:tcPr>
            <w:tcW w:type="dxa" w:w="864"/>
            <w:shd w:val="clear" w:color="auto" w:fill="F2F2F2"/>
          </w:tcPr>
          <w:p>
            <w:pPr>
              <w:spacing w:after="40"/>
            </w:pPr>
            <w:r/>
            <w:r>
              <w:rPr>
                <w:b/>
                <w:color w:val="222222"/>
                <w:sz w:val="17"/>
              </w:rPr>
              <w:t>T3</w:t>
            </w:r>
          </w:p>
        </w:tc>
        <w:tc>
          <w:tcPr>
            <w:tcW w:type="dxa" w:w="864"/>
            <w:shd w:val="clear" w:color="auto" w:fill="F2F2F2"/>
          </w:tcPr>
          <w:p>
            <w:pPr>
              <w:spacing w:after="40"/>
            </w:pPr>
            <w:r/>
            <w:r>
              <w:rPr>
                <w:b/>
                <w:color w:val="222222"/>
                <w:sz w:val="17"/>
              </w:rPr>
              <w:t>T4</w:t>
            </w:r>
          </w:p>
        </w:tc>
        <w:tc>
          <w:tcPr>
            <w:tcW w:type="dxa" w:w="864"/>
            <w:shd w:val="clear" w:color="auto" w:fill="F2F2F2"/>
          </w:tcPr>
          <w:p>
            <w:pPr>
              <w:spacing w:after="40"/>
            </w:pPr>
            <w:r/>
            <w:r>
              <w:rPr>
                <w:b/>
                <w:color w:val="222222"/>
                <w:sz w:val="17"/>
              </w:rPr>
              <w:t>T5</w:t>
            </w:r>
          </w:p>
        </w:tc>
        <w:tc>
          <w:tcPr>
            <w:tcW w:type="dxa" w:w="1008"/>
            <w:shd w:val="clear" w:color="auto" w:fill="F2F2F2"/>
          </w:tcPr>
          <w:p>
            <w:pPr>
              <w:spacing w:after="40"/>
            </w:pPr>
            <w:r/>
            <w:r>
              <w:rPr>
                <w:b/>
                <w:color w:val="222222"/>
                <w:sz w:val="17"/>
              </w:rPr>
              <w:t>Total</w:t>
            </w:r>
          </w:p>
        </w:tc>
      </w:tr>
      <w:tr>
        <w:tc>
          <w:tcPr>
            <w:tcW w:type="dxa" w:w="2304"/>
          </w:tcPr>
          <w:p>
            <w:pPr>
              <w:spacing w:after="40"/>
            </w:pPr>
            <w:r/>
            <w:r>
              <w:rPr>
                <w:color w:val="222222"/>
                <w:sz w:val="17"/>
              </w:rPr>
              <w:t>A. Leave alone</w:t>
            </w:r>
          </w:p>
        </w:tc>
        <w:tc>
          <w:tcPr>
            <w:tcW w:type="dxa" w:w="864"/>
          </w:tcPr>
          <w:p>
            <w:pPr>
              <w:spacing w:after="40"/>
            </w:pPr>
            <w:r/>
            <w:r>
              <w:rPr>
                <w:color w:val="222222"/>
                <w:sz w:val="17"/>
              </w:rPr>
              <w:t>1</w:t>
            </w:r>
          </w:p>
        </w:tc>
        <w:tc>
          <w:tcPr>
            <w:tcW w:type="dxa" w:w="864"/>
          </w:tcPr>
          <w:p>
            <w:pPr>
              <w:spacing w:after="40"/>
            </w:pPr>
            <w:r/>
            <w:r>
              <w:rPr>
                <w:color w:val="222222"/>
                <w:sz w:val="17"/>
              </w:rPr>
              <w:t>1</w:t>
            </w:r>
          </w:p>
        </w:tc>
        <w:tc>
          <w:tcPr>
            <w:tcW w:type="dxa" w:w="864"/>
          </w:tcPr>
          <w:p>
            <w:pPr>
              <w:spacing w:after="40"/>
            </w:pPr>
            <w:r/>
            <w:r>
              <w:rPr>
                <w:color w:val="222222"/>
                <w:sz w:val="17"/>
              </w:rPr>
              <w:t>0</w:t>
            </w:r>
          </w:p>
        </w:tc>
        <w:tc>
          <w:tcPr>
            <w:tcW w:type="dxa" w:w="864"/>
          </w:tcPr>
          <w:p>
            <w:pPr>
              <w:spacing w:after="40"/>
            </w:pPr>
            <w:r/>
            <w:r>
              <w:rPr>
                <w:color w:val="222222"/>
                <w:sz w:val="17"/>
              </w:rPr>
              <w:t>0</w:t>
            </w:r>
          </w:p>
        </w:tc>
        <w:tc>
          <w:tcPr>
            <w:tcW w:type="dxa" w:w="864"/>
          </w:tcPr>
          <w:p>
            <w:pPr>
              <w:spacing w:after="40"/>
            </w:pPr>
            <w:r/>
            <w:r>
              <w:rPr>
                <w:color w:val="222222"/>
                <w:sz w:val="17"/>
              </w:rPr>
              <w:t>0</w:t>
            </w:r>
          </w:p>
        </w:tc>
        <w:tc>
          <w:tcPr>
            <w:tcW w:type="dxa" w:w="1008"/>
          </w:tcPr>
          <w:p>
            <w:pPr>
              <w:spacing w:after="40"/>
            </w:pPr>
            <w:r/>
            <w:r>
              <w:rPr>
                <w:color w:val="222222"/>
                <w:sz w:val="17"/>
              </w:rPr>
              <w:t>2</w:t>
            </w:r>
          </w:p>
        </w:tc>
      </w:tr>
      <w:tr>
        <w:tc>
          <w:tcPr>
            <w:tcW w:type="dxa" w:w="2304"/>
          </w:tcPr>
          <w:p>
            <w:pPr>
              <w:spacing w:after="40"/>
            </w:pPr>
            <w:r/>
            <w:r>
              <w:rPr>
                <w:color w:val="222222"/>
                <w:sz w:val="17"/>
              </w:rPr>
              <w:t>B. Hire Coordinator</w:t>
            </w:r>
          </w:p>
        </w:tc>
        <w:tc>
          <w:tcPr>
            <w:tcW w:type="dxa" w:w="864"/>
          </w:tcPr>
          <w:p>
            <w:pPr>
              <w:spacing w:after="40"/>
            </w:pPr>
            <w:r/>
            <w:r>
              <w:rPr>
                <w:color w:val="222222"/>
                <w:sz w:val="17"/>
              </w:rPr>
              <w:t>1</w:t>
            </w:r>
          </w:p>
        </w:tc>
        <w:tc>
          <w:tcPr>
            <w:tcW w:type="dxa" w:w="864"/>
          </w:tcPr>
          <w:p>
            <w:pPr>
              <w:spacing w:after="40"/>
            </w:pPr>
            <w:r/>
            <w:r>
              <w:rPr>
                <w:color w:val="222222"/>
                <w:sz w:val="17"/>
              </w:rPr>
              <w:t>7</w:t>
            </w:r>
          </w:p>
        </w:tc>
        <w:tc>
          <w:tcPr>
            <w:tcW w:type="dxa" w:w="864"/>
          </w:tcPr>
          <w:p>
            <w:pPr>
              <w:spacing w:after="40"/>
            </w:pPr>
            <w:r/>
            <w:r>
              <w:rPr>
                <w:color w:val="222222"/>
                <w:sz w:val="17"/>
              </w:rPr>
              <w:t>11</w:t>
            </w:r>
          </w:p>
        </w:tc>
        <w:tc>
          <w:tcPr>
            <w:tcW w:type="dxa" w:w="864"/>
          </w:tcPr>
          <w:p>
            <w:pPr>
              <w:spacing w:after="40"/>
            </w:pPr>
            <w:r/>
            <w:r>
              <w:rPr>
                <w:color w:val="222222"/>
                <w:sz w:val="17"/>
              </w:rPr>
              <w:t>15</w:t>
            </w:r>
          </w:p>
        </w:tc>
        <w:tc>
          <w:tcPr>
            <w:tcW w:type="dxa" w:w="864"/>
          </w:tcPr>
          <w:p>
            <w:pPr>
              <w:spacing w:after="40"/>
            </w:pPr>
            <w:r/>
            <w:r>
              <w:rPr>
                <w:color w:val="222222"/>
                <w:sz w:val="17"/>
              </w:rPr>
              <w:t>8</w:t>
            </w:r>
          </w:p>
        </w:tc>
        <w:tc>
          <w:tcPr>
            <w:tcW w:type="dxa" w:w="1008"/>
          </w:tcPr>
          <w:p>
            <w:pPr>
              <w:spacing w:after="40"/>
            </w:pPr>
            <w:r/>
            <w:r>
              <w:rPr>
                <w:color w:val="222222"/>
                <w:sz w:val="17"/>
              </w:rPr>
              <w:t>42</w:t>
            </w:r>
          </w:p>
        </w:tc>
      </w:tr>
      <w:tr>
        <w:tc>
          <w:tcPr>
            <w:tcW w:type="dxa" w:w="2304"/>
          </w:tcPr>
          <w:p>
            <w:pPr>
              <w:spacing w:after="40"/>
            </w:pPr>
            <w:r/>
            <w:r>
              <w:rPr>
                <w:color w:val="222222"/>
                <w:sz w:val="17"/>
              </w:rPr>
              <w:t>C. Adjust wages</w:t>
            </w:r>
          </w:p>
        </w:tc>
        <w:tc>
          <w:tcPr>
            <w:tcW w:type="dxa" w:w="864"/>
          </w:tcPr>
          <w:p>
            <w:pPr>
              <w:spacing w:after="40"/>
            </w:pPr>
            <w:r/>
            <w:r>
              <w:rPr>
                <w:color w:val="222222"/>
                <w:sz w:val="17"/>
              </w:rPr>
              <w:t>2</w:t>
            </w:r>
          </w:p>
        </w:tc>
        <w:tc>
          <w:tcPr>
            <w:tcW w:type="dxa" w:w="864"/>
          </w:tcPr>
          <w:p>
            <w:pPr>
              <w:spacing w:after="40"/>
            </w:pPr>
            <w:r/>
            <w:r>
              <w:rPr>
                <w:color w:val="222222"/>
                <w:sz w:val="17"/>
              </w:rPr>
              <w:t>13</w:t>
            </w:r>
          </w:p>
        </w:tc>
        <w:tc>
          <w:tcPr>
            <w:tcW w:type="dxa" w:w="864"/>
          </w:tcPr>
          <w:p>
            <w:pPr>
              <w:spacing w:after="40"/>
            </w:pPr>
            <w:r/>
            <w:r>
              <w:rPr>
                <w:color w:val="222222"/>
                <w:sz w:val="17"/>
              </w:rPr>
              <w:t>9</w:t>
            </w:r>
          </w:p>
        </w:tc>
        <w:tc>
          <w:tcPr>
            <w:tcW w:type="dxa" w:w="864"/>
          </w:tcPr>
          <w:p>
            <w:pPr>
              <w:spacing w:after="40"/>
            </w:pPr>
            <w:r/>
            <w:r>
              <w:rPr>
                <w:color w:val="222222"/>
                <w:sz w:val="17"/>
              </w:rPr>
              <w:t>11</w:t>
            </w:r>
          </w:p>
        </w:tc>
        <w:tc>
          <w:tcPr>
            <w:tcW w:type="dxa" w:w="864"/>
          </w:tcPr>
          <w:p>
            <w:pPr>
              <w:spacing w:after="40"/>
            </w:pPr>
            <w:r/>
            <w:r>
              <w:rPr>
                <w:color w:val="222222"/>
                <w:sz w:val="17"/>
              </w:rPr>
              <w:t>4</w:t>
            </w:r>
          </w:p>
        </w:tc>
        <w:tc>
          <w:tcPr>
            <w:tcW w:type="dxa" w:w="1008"/>
          </w:tcPr>
          <w:p>
            <w:pPr>
              <w:spacing w:after="40"/>
            </w:pPr>
            <w:r/>
            <w:r>
              <w:rPr>
                <w:color w:val="222222"/>
                <w:sz w:val="17"/>
              </w:rPr>
              <w:t>39</w:t>
            </w:r>
          </w:p>
        </w:tc>
      </w:tr>
      <w:tr>
        <w:tc>
          <w:tcPr>
            <w:tcW w:type="dxa" w:w="2304"/>
          </w:tcPr>
          <w:p>
            <w:pPr>
              <w:spacing w:after="40"/>
            </w:pPr>
            <w:r/>
            <w:r>
              <w:rPr>
                <w:color w:val="222222"/>
                <w:sz w:val="17"/>
              </w:rPr>
              <w:t>D. Adjust hours</w:t>
            </w:r>
          </w:p>
        </w:tc>
        <w:tc>
          <w:tcPr>
            <w:tcW w:type="dxa" w:w="864"/>
          </w:tcPr>
          <w:p>
            <w:pPr>
              <w:spacing w:after="40"/>
            </w:pPr>
            <w:r/>
            <w:r>
              <w:rPr>
                <w:color w:val="222222"/>
                <w:sz w:val="17"/>
              </w:rPr>
              <w:t>26</w:t>
            </w:r>
          </w:p>
        </w:tc>
        <w:tc>
          <w:tcPr>
            <w:tcW w:type="dxa" w:w="864"/>
          </w:tcPr>
          <w:p>
            <w:pPr>
              <w:spacing w:after="40"/>
            </w:pPr>
            <w:r/>
            <w:r>
              <w:rPr>
                <w:color w:val="222222"/>
                <w:sz w:val="17"/>
              </w:rPr>
              <w:t>45</w:t>
            </w:r>
          </w:p>
        </w:tc>
        <w:tc>
          <w:tcPr>
            <w:tcW w:type="dxa" w:w="864"/>
          </w:tcPr>
          <w:p>
            <w:pPr>
              <w:spacing w:after="40"/>
            </w:pPr>
            <w:r/>
            <w:r>
              <w:rPr>
                <w:color w:val="222222"/>
                <w:sz w:val="17"/>
              </w:rPr>
              <w:t>31</w:t>
            </w:r>
          </w:p>
        </w:tc>
        <w:tc>
          <w:tcPr>
            <w:tcW w:type="dxa" w:w="864"/>
          </w:tcPr>
          <w:p>
            <w:pPr>
              <w:spacing w:after="40"/>
            </w:pPr>
            <w:r/>
            <w:r>
              <w:rPr>
                <w:color w:val="222222"/>
                <w:sz w:val="17"/>
              </w:rPr>
              <w:t>21</w:t>
            </w:r>
          </w:p>
        </w:tc>
        <w:tc>
          <w:tcPr>
            <w:tcW w:type="dxa" w:w="864"/>
          </w:tcPr>
          <w:p>
            <w:pPr>
              <w:spacing w:after="40"/>
            </w:pPr>
            <w:r/>
            <w:r>
              <w:rPr>
                <w:color w:val="222222"/>
                <w:sz w:val="17"/>
              </w:rPr>
              <w:t>15</w:t>
            </w:r>
          </w:p>
        </w:tc>
        <w:tc>
          <w:tcPr>
            <w:tcW w:type="dxa" w:w="1008"/>
          </w:tcPr>
          <w:p>
            <w:pPr>
              <w:spacing w:after="40"/>
            </w:pPr>
            <w:r/>
            <w:r>
              <w:rPr>
                <w:color w:val="222222"/>
                <w:sz w:val="17"/>
              </w:rPr>
              <w:t>138</w:t>
            </w:r>
          </w:p>
        </w:tc>
      </w:tr>
      <w:tr>
        <w:tc>
          <w:tcPr>
            <w:tcW w:type="dxa" w:w="2304"/>
          </w:tcPr>
          <w:p>
            <w:pPr>
              <w:spacing w:after="40"/>
            </w:pPr>
            <w:r/>
            <w:r>
              <w:rPr>
                <w:color w:val="222222"/>
                <w:sz w:val="17"/>
              </w:rPr>
              <w:t>E. Dedicated cleaners</w:t>
            </w:r>
          </w:p>
        </w:tc>
        <w:tc>
          <w:tcPr>
            <w:tcW w:type="dxa" w:w="864"/>
          </w:tcPr>
          <w:p>
            <w:pPr>
              <w:spacing w:after="40"/>
            </w:pPr>
            <w:r/>
            <w:r>
              <w:rPr>
                <w:color w:val="222222"/>
                <w:sz w:val="17"/>
              </w:rPr>
              <w:t>0</w:t>
            </w:r>
          </w:p>
        </w:tc>
        <w:tc>
          <w:tcPr>
            <w:tcW w:type="dxa" w:w="864"/>
          </w:tcPr>
          <w:p>
            <w:pPr>
              <w:spacing w:after="40"/>
            </w:pPr>
            <w:r/>
            <w:r>
              <w:rPr>
                <w:color w:val="222222"/>
                <w:sz w:val="17"/>
              </w:rPr>
              <w:t>0</w:t>
            </w:r>
          </w:p>
        </w:tc>
        <w:tc>
          <w:tcPr>
            <w:tcW w:type="dxa" w:w="864"/>
          </w:tcPr>
          <w:p>
            <w:pPr>
              <w:spacing w:after="40"/>
            </w:pPr>
            <w:r/>
            <w:r>
              <w:rPr>
                <w:color w:val="222222"/>
                <w:sz w:val="17"/>
              </w:rPr>
              <w:t>0</w:t>
            </w:r>
          </w:p>
        </w:tc>
        <w:tc>
          <w:tcPr>
            <w:tcW w:type="dxa" w:w="864"/>
          </w:tcPr>
          <w:p>
            <w:pPr>
              <w:spacing w:after="40"/>
            </w:pPr>
            <w:r/>
            <w:r>
              <w:rPr>
                <w:color w:val="222222"/>
                <w:sz w:val="17"/>
              </w:rPr>
              <w:t>0</w:t>
            </w:r>
          </w:p>
        </w:tc>
        <w:tc>
          <w:tcPr>
            <w:tcW w:type="dxa" w:w="864"/>
          </w:tcPr>
          <w:p>
            <w:pPr>
              <w:spacing w:after="40"/>
            </w:pPr>
            <w:r/>
            <w:r>
              <w:rPr>
                <w:color w:val="222222"/>
                <w:sz w:val="17"/>
              </w:rPr>
              <w:t>0</w:t>
            </w:r>
          </w:p>
        </w:tc>
        <w:tc>
          <w:tcPr>
            <w:tcW w:type="dxa" w:w="1008"/>
          </w:tcPr>
          <w:p>
            <w:pPr>
              <w:spacing w:after="40"/>
            </w:pPr>
            <w:r/>
            <w:r>
              <w:rPr>
                <w:color w:val="222222"/>
                <w:sz w:val="17"/>
              </w:rPr>
              <w:t>0</w:t>
            </w:r>
          </w:p>
        </w:tc>
      </w:tr>
    </w:tbl>
    <w:p>
      <w:pPr>
        <w:spacing w:after="40"/>
      </w:pPr>
    </w:p>
    <w:p>
      <w:pPr>
        <w:spacing w:before="260" w:after="80"/>
      </w:pPr>
      <w:r>
        <w:rPr>
          <w:b/>
          <w:color w:val="222222"/>
          <w:sz w:val="20"/>
        </w:rPr>
        <w:t>WHAT THE INTERSECTION REVEALS</w:t>
      </w:r>
    </w:p>
    <w:p>
      <w:pPr>
        <w:pStyle w:val="ListBullet"/>
        <w:spacing w:after="60"/>
      </w:pPr>
      <w:r>
        <w:rPr>
          <w:b/>
          <w:color w:val="222222"/>
        </w:rPr>
        <w:t xml:space="preserve">Missing Coordinators concentrate in the smaller tiers. </w:t>
      </w:r>
      <w:r>
        <w:rPr>
          <w:color w:val="222222"/>
        </w:rPr>
        <w:t>23 of the 42 studios needing a Coordinator are Tier 4 or Tier 5. These are the studios where a part time Coordinator was easiest to defer and where the absence is now blocking every cleaning intervention.</w:t>
      </w:r>
    </w:p>
    <w:p>
      <w:pPr>
        <w:pStyle w:val="ListBullet"/>
        <w:spacing w:after="60"/>
      </w:pPr>
      <w:r>
        <w:rPr>
          <w:b/>
          <w:color w:val="222222"/>
        </w:rPr>
        <w:t xml:space="preserve">The hours problem is universal. </w:t>
      </w:r>
      <w:r>
        <w:rPr>
          <w:color w:val="222222"/>
        </w:rPr>
        <w:t>138 studios across every tier have a Coordinator and competitive pay. Their constraint is coverage across the week, not recruiting capacity. This is the single largest group in the network and it has one shared answer.</w:t>
      </w:r>
    </w:p>
    <w:p>
      <w:pPr>
        <w:pStyle w:val="ListBullet"/>
        <w:spacing w:after="60"/>
      </w:pPr>
      <w:r>
        <w:rPr>
          <w:b/>
          <w:color w:val="222222"/>
        </w:rPr>
        <w:t xml:space="preserve">The dedicated cleaner question is narrow and gated. </w:t>
      </w:r>
      <w:r>
        <w:rPr>
          <w:color w:val="222222"/>
        </w:rPr>
        <w:t>All 55 likely step E candidates sit in Tier 1 or Tier 2, all are profitable, and all carry 25 or fewer support team members. Studios closer to the standard were removed from the flag because hiring closes their gap.</w:t>
      </w:r>
    </w:p>
    <w:p>
      <w:pPr>
        <w:pStyle w:val="ListBullet"/>
        <w:spacing w:after="60"/>
      </w:pPr>
      <w:r>
        <w:rPr>
          <w:b/>
          <w:color w:val="222222"/>
        </w:rPr>
        <w:t xml:space="preserve">MatFresher and the largest gaps barely overlap. </w:t>
      </w:r>
      <w:r>
        <w:rPr>
          <w:color w:val="222222"/>
        </w:rPr>
        <w:t>Only two of the thirty studios furthest from the standard carry a MatFresher flag. The equipment program and the staffing gap are aimed at different parts of the network, which means they should be budgeted and sequenced separately.</w:t>
      </w:r>
    </w:p>
    <w:p>
      <w:pPr>
        <w:spacing w:before="260" w:after="80"/>
      </w:pPr>
      <w:r>
        <w:rPr>
          <w:b/>
          <w:color w:val="222222"/>
          <w:sz w:val="20"/>
        </w:rPr>
        <w:t>WE MAY NOT BE ABLE TO COMPLETE THIS IN THE CURRENT STATE</w:t>
      </w:r>
    </w:p>
    <w:p>
      <w:r>
        <w:rPr>
          <w:color w:val="222222"/>
        </w:rPr>
        <w:t>This framework describes the destination and the order of operations. It does not assume we reach every studio, and the board should hear that from us rather than discover it later.</w:t>
      </w:r>
    </w:p>
    <w:p>
      <w:pPr>
        <w:pStyle w:val="ListBullet"/>
        <w:spacing w:after="60"/>
      </w:pPr>
      <w:r>
        <w:rPr>
          <w:b/>
          <w:color w:val="222222"/>
        </w:rPr>
        <w:t xml:space="preserve">Budget. </w:t>
      </w:r>
      <w:r>
        <w:rPr>
          <w:color w:val="222222"/>
        </w:rPr>
        <w:t>Cost modeling is not yet built because the studio dataset does not carry compensation. The full plan may exceed what the P and L can absorb in a single year.</w:t>
      </w:r>
    </w:p>
    <w:p>
      <w:pPr>
        <w:pStyle w:val="ListBullet"/>
        <w:spacing w:after="60"/>
      </w:pPr>
      <w:r>
        <w:rPr>
          <w:b/>
          <w:color w:val="222222"/>
        </w:rPr>
        <w:t xml:space="preserve">Hiring capacity. </w:t>
      </w:r>
      <w:r>
        <w:rPr>
          <w:color w:val="222222"/>
        </w:rPr>
        <w:t>Reaching 39 members network wide would require 5,818 additional support team members. In tight labor markets that volume of hiring is not achievable on a near term timeline regardless of budget.</w:t>
      </w:r>
    </w:p>
    <w:p>
      <w:pPr>
        <w:pStyle w:val="ListBullet"/>
        <w:spacing w:after="60"/>
      </w:pPr>
      <w:r>
        <w:rPr>
          <w:b/>
          <w:color w:val="222222"/>
        </w:rPr>
        <w:t xml:space="preserve">Sequencing time. </w:t>
      </w:r>
      <w:r>
        <w:rPr>
          <w:color w:val="222222"/>
        </w:rPr>
        <w:t>A Coordinator hire has to land and stabilize before wage and hour work can follow. For the twelve three action studios that is a multi quarter sequence per studio, not a single cycle.</w:t>
      </w:r>
    </w:p>
    <w:p>
      <w:pPr>
        <w:pStyle w:val="ListBullet"/>
        <w:spacing w:after="60"/>
      </w:pPr>
      <w:r>
        <w:rPr>
          <w:b/>
          <w:color w:val="222222"/>
        </w:rPr>
        <w:t xml:space="preserve">Profitability gates. </w:t>
      </w:r>
      <w:r>
        <w:rPr>
          <w:color w:val="222222"/>
        </w:rPr>
        <w:t>Two studios flagged for a Coordinator are unprofitable today and sit on District Manager assessment. The gate may hold them at step B indefinitely, which means they stay below standard.</w:t>
      </w:r>
    </w:p>
    <w:p>
      <w:pPr>
        <w:spacing w:before="120" w:after="200"/>
        <w:ind w:left="216"/>
        <w:pBdr>
          <w:left w:val="single" w:sz="18" w:color="FF8200" w:space="8"/>
        </w:pBdr>
      </w:pPr>
      <w:r>
        <w:rPr>
          <w:b/>
          <w:color w:val="222222"/>
        </w:rPr>
        <w:t xml:space="preserve">The honest framing. </w:t>
      </w:r>
      <w:r>
        <w:rPr>
          <w:color w:val="222222"/>
          <w:sz w:val="20"/>
        </w:rPr>
        <w:t>Treat this as a prioritized path rather than a commitment to full coverage. The value of the sequence is that it tells us what to do first and what not to waste money on. It does not promise every studio reaches the standard in the current state.</w:t>
      </w:r>
    </w:p>
    <w:p>
      <w:pPr>
        <w:spacing w:before="260" w:after="80"/>
      </w:pPr>
      <w:r>
        <w:rPr>
          <w:b/>
          <w:color w:val="222222"/>
          <w:sz w:val="20"/>
        </w:rPr>
        <w:t>WHAT THE MEMBER DATA DOES NOT SUPPORT</w:t>
      </w:r>
    </w:p>
    <w:p>
      <w:r>
        <w:rPr>
          <w:color w:val="222222"/>
        </w:rPr>
        <w:t>We tested whether support team staffing predicts member sentiment across 202 studios with at least ten Listen360 reviews. It does not. Headcount against score returns negative 0.117. Isolating cleanliness complaints specifically does not change the answer. The strongest relationship in the analysis is daily attendance against complaint rate at positive 0.229, and even that is weak.</w:t>
      </w:r>
    </w:p>
    <w:p>
      <w:pPr>
        <w:spacing w:before="120" w:after="200"/>
        <w:ind w:left="216"/>
        <w:pBdr>
          <w:left w:val="single" w:sz="18" w:color="FF8200" w:space="8"/>
        </w:pBdr>
      </w:pPr>
      <w:r>
        <w:rPr>
          <w:b/>
          <w:color w:val="222222"/>
        </w:rPr>
        <w:t xml:space="preserve">Important. </w:t>
      </w:r>
      <w:r>
        <w:rPr>
          <w:color w:val="222222"/>
          <w:sz w:val="20"/>
        </w:rPr>
        <w:t>Busier studios generate more cleanliness complaints regardless of how many support team members they carry. The case for this investment rests on brand standard and operational floor, not on a satisfaction lift.</w:t>
      </w:r>
    </w:p>
    <w:p>
      <w:r>
        <w:rPr>
          <w:color w:val="222222"/>
        </w:rPr>
        <w:t>Cleanliness also accounts for only 28 percent of facility complaints. HVAC and maintenance together account for 54 percent, and those are capital and vendor problems rather than labor problems. A full treatment is in the accompanying correlation analysis.</w:t>
      </w:r>
    </w:p>
    <w:p>
      <w:pPr>
        <w:spacing w:before="260" w:after="80"/>
      </w:pPr>
      <w:r>
        <w:rPr>
          <w:b/>
          <w:color w:val="222222"/>
          <w:sz w:val="20"/>
        </w:rPr>
        <w:t>SEQUENCING THAT FOLLOWS FROM THIS</w:t>
      </w:r>
    </w:p>
    <w:p>
      <w:r>
        <w:rPr>
          <w:color w:val="222222"/>
        </w:rPr>
        <w:t>Because the Coordinator gates cleanliness, the investment order is not a preference. It is a dependency.</w:t>
      </w:r>
    </w:p>
    <w:p>
      <w:pPr>
        <w:pStyle w:val="ListBullet"/>
        <w:spacing w:after="60"/>
      </w:pPr>
      <w:r>
        <w:rPr>
          <w:b/>
          <w:color w:val="222222"/>
        </w:rPr>
        <w:t xml:space="preserve">First. </w:t>
      </w:r>
      <w:r>
        <w:rPr>
          <w:color w:val="222222"/>
        </w:rPr>
        <w:t>Close the Coordinator gaps. 40 studios are cleared to hire on profitability. 2 require a District Manager assessment first. Until this closes, 42 studios cannot begin any cleaning work.</w:t>
      </w:r>
    </w:p>
    <w:p>
      <w:pPr>
        <w:pStyle w:val="ListBullet"/>
        <w:spacing w:after="60"/>
      </w:pPr>
      <w:r>
        <w:rPr>
          <w:b/>
          <w:color w:val="222222"/>
        </w:rPr>
        <w:t xml:space="preserve">Second. </w:t>
      </w:r>
      <w:r>
        <w:rPr>
          <w:color w:val="222222"/>
        </w:rPr>
        <w:t>Correct wages at the 39 studios paying below market. Approving headcount there before pay is corrected produces open requisitions, not staffed shifts.</w:t>
      </w:r>
    </w:p>
    <w:p>
      <w:pPr>
        <w:pStyle w:val="ListBullet"/>
        <w:spacing w:after="60"/>
      </w:pPr>
      <w:r>
        <w:rPr>
          <w:b/>
          <w:color w:val="222222"/>
        </w:rPr>
        <w:t xml:space="preserve">Third. </w:t>
      </w:r>
      <w:r>
        <w:rPr>
          <w:color w:val="222222"/>
        </w:rPr>
        <w:t>Expand hours at the 138 studios that are ready for it. This is where the volume of the work sits.</w:t>
      </w:r>
    </w:p>
    <w:p>
      <w:pPr>
        <w:pStyle w:val="ListBullet"/>
        <w:spacing w:after="60"/>
      </w:pPr>
      <w:r>
        <w:rPr>
          <w:b/>
          <w:color w:val="222222"/>
        </w:rPr>
        <w:t xml:space="preserve">Fourth. </w:t>
      </w:r>
      <w:r>
        <w:rPr>
          <w:color w:val="222222"/>
        </w:rPr>
        <w:t>Take up dedicated cleaners only for studios that have exhausted wage and hour levers, are profitable, and remain far enough from the standard that hiring will not close it.</w:t>
      </w:r>
    </w:p>
    <w:p>
      <w:pPr>
        <w:spacing w:before="260" w:after="80"/>
      </w:pPr>
      <w:r>
        <w:rPr>
          <w:b/>
          <w:color w:val="222222"/>
          <w:sz w:val="20"/>
        </w:rPr>
        <w:t>WHY THIS HOLDS UP</w:t>
      </w:r>
    </w:p>
    <w:p>
      <w:r>
        <w:rPr>
          <w:color w:val="222222"/>
        </w:rPr>
        <w:t>The path is auditable. Every studio placement traces to fields we already maintain: whether a Coordinator is on payroll, whether pay sits at the market maximum, current headcount, and profitability. No judgment call sits between the data and the recommendation, which means the model can be rerun as payroll changes and the answers will move on their own.</w:t>
      </w:r>
    </w:p>
    <w:p>
      <w:r>
        <w:rPr>
          <w:color w:val="222222"/>
        </w:rPr>
        <w:t>It also fails loudly rather than quietly. A studio that stalls at step B for two quarters is visible as a blocked studio, not as a general cleanliness complaint.</w:t>
      </w:r>
    </w:p>
    <w:p>
      <w:pPr>
        <w:spacing w:before="260" w:after="80"/>
      </w:pPr>
      <w:r>
        <w:rPr>
          <w:b/>
          <w:color w:val="222222"/>
          <w:sz w:val="20"/>
        </w:rPr>
        <w:t>OPEN ITEMS</w:t>
      </w:r>
    </w:p>
    <w:p>
      <w:pPr>
        <w:pStyle w:val="ListBullet"/>
        <w:spacing w:after="60"/>
      </w:pPr>
      <w:r>
        <w:rPr>
          <w:b/>
          <w:color w:val="222222"/>
        </w:rPr>
        <w:t xml:space="preserve">Cost modeling. </w:t>
      </w:r>
      <w:r>
        <w:rPr>
          <w:color w:val="222222"/>
        </w:rPr>
        <w:t>Attendance, headcount, and profitability are in the studio dataset. Compensation is not. The investment case requires the market level salary file.</w:t>
      </w:r>
    </w:p>
    <w:p>
      <w:pPr>
        <w:pStyle w:val="ListBullet"/>
        <w:spacing w:after="60"/>
      </w:pPr>
      <w:r>
        <w:rPr>
          <w:b/>
          <w:color w:val="222222"/>
        </w:rPr>
        <w:t xml:space="preserve">Verified dedicated cleaner population. </w:t>
      </w:r>
      <w:r>
        <w:rPr>
          <w:color w:val="222222"/>
        </w:rPr>
        <w:t>The flag was scoped in September but never written back to the studio data. The population needs rebuilding from the source labor file.</w:t>
      </w:r>
    </w:p>
    <w:p>
      <w:pPr>
        <w:pStyle w:val="ListBullet"/>
        <w:spacing w:after="60"/>
      </w:pPr>
      <w:r>
        <w:rPr>
          <w:b/>
          <w:color w:val="222222"/>
        </w:rPr>
        <w:t xml:space="preserve">The 59 hour path. </w:t>
      </w:r>
      <w:r>
        <w:rPr>
          <w:color w:val="222222"/>
        </w:rPr>
        <w:t>The current model reads members. The 59 hour alternative needs a scheduling data source to be evaluated directly.</w:t>
      </w:r>
    </w:p>
    <w:p>
      <w:pPr>
        <w:spacing w:before="320"/>
        <w:pBdr>
          <w:top w:val="single" w:sz="6" w:color="D2D2D2"/>
        </w:pBdr>
      </w:pPr>
      <w:r>
        <w:rPr>
          <w:color w:val="999999"/>
          <w:sz w:val="15"/>
        </w:rPr>
        <w:t>CorePower Yoga  |  Prepared by Michelle Salvatore, SVP Head of Operations  |  September 2026  |  Source: studio payroll and attendance data, 221 active studios</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