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22222"/>
          <w:sz w:val="38"/>
        </w:rPr>
        <w:t>Studio Tiering and Management Staffing</w:t>
      </w:r>
    </w:p>
    <w:p>
      <w:pPr>
        <w:spacing w:after="200"/>
      </w:pPr>
      <w:r>
        <w:rPr>
          <w:color w:val="555555"/>
          <w:sz w:val="20"/>
        </w:rPr>
        <w:t>Why we are moving to a utilization based staffing model</w:t>
      </w:r>
    </w:p>
    <w:p>
      <w:pPr>
        <w:spacing w:after="240"/>
        <w:pBdr>
          <w:bottom w:val="single" w:sz="18" w:color="FF8200"/>
        </w:pBdr>
      </w:pPr>
    </w:p>
    <w:p>
      <w:pPr>
        <w:spacing w:before="260" w:after="80"/>
      </w:pPr>
      <w:r>
        <w:rPr>
          <w:b/>
          <w:color w:val="222222"/>
          <w:sz w:val="20"/>
        </w:rPr>
        <w:t>THE PROBLEM</w:t>
      </w:r>
    </w:p>
    <w:p>
      <w:r>
        <w:rPr>
          <w:color w:val="222222"/>
        </w:rPr>
        <w:t>Today our studios are not staffed according to how hard they actually work. Management headcount across the network reflects history, tenure, and one off decisions rather than the volume of members walking through the door. The result is a network where two studios with nearly identical traffic can carry very different leadership structures, and where some of our busiest locations are the thinnest staffed.</w:t>
      </w:r>
    </w:p>
    <w:p>
      <w:r>
        <w:rPr>
          <w:color w:val="222222"/>
        </w:rPr>
        <w:t>The data confirms it. Studio Coordinator coverage should climb with volume if staffing followed utilization. It does not climb cleanly, and the pattern breaks down entirely once you look inside each tier.</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440"/>
            <w:shd w:val="clear" w:color="auto" w:fill="F2F2F2"/>
          </w:tcPr>
          <w:p>
            <w:pPr>
              <w:spacing w:after="40"/>
            </w:pPr>
            <w:r/>
            <w:r>
              <w:rPr>
                <w:b/>
                <w:color w:val="222222"/>
                <w:sz w:val="17"/>
              </w:rPr>
              <w:t>Tier</w:t>
            </w:r>
          </w:p>
        </w:tc>
        <w:tc>
          <w:tcPr>
            <w:tcW w:type="dxa" w:w="1872"/>
            <w:shd w:val="clear" w:color="auto" w:fill="F2F2F2"/>
          </w:tcPr>
          <w:p>
            <w:pPr>
              <w:spacing w:after="40"/>
            </w:pPr>
            <w:r/>
            <w:r>
              <w:rPr>
                <w:b/>
                <w:color w:val="222222"/>
                <w:sz w:val="17"/>
              </w:rPr>
              <w:t>Daily attendance</w:t>
            </w:r>
          </w:p>
        </w:tc>
        <w:tc>
          <w:tcPr>
            <w:tcW w:type="dxa" w:w="1152"/>
            <w:shd w:val="clear" w:color="auto" w:fill="F2F2F2"/>
          </w:tcPr>
          <w:p>
            <w:pPr>
              <w:spacing w:after="40"/>
            </w:pPr>
            <w:r/>
            <w:r>
              <w:rPr>
                <w:b/>
                <w:color w:val="222222"/>
                <w:sz w:val="17"/>
              </w:rPr>
              <w:t>Studios</w:t>
            </w:r>
          </w:p>
        </w:tc>
        <w:tc>
          <w:tcPr>
            <w:tcW w:type="dxa" w:w="2592"/>
            <w:shd w:val="clear" w:color="auto" w:fill="F2F2F2"/>
          </w:tcPr>
          <w:p>
            <w:pPr>
              <w:spacing w:after="40"/>
            </w:pPr>
            <w:r/>
            <w:r>
              <w:rPr>
                <w:b/>
                <w:color w:val="222222"/>
                <w:sz w:val="17"/>
              </w:rPr>
              <w:t>Studios with a Coordinator</w:t>
            </w:r>
          </w:p>
        </w:tc>
        <w:tc>
          <w:tcPr>
            <w:tcW w:type="dxa" w:w="1440"/>
            <w:shd w:val="clear" w:color="auto" w:fill="F2F2F2"/>
          </w:tcPr>
          <w:p>
            <w:pPr>
              <w:spacing w:after="40"/>
            </w:pPr>
            <w:r/>
            <w:r>
              <w:rPr>
                <w:b/>
                <w:color w:val="222222"/>
                <w:sz w:val="17"/>
              </w:rPr>
              <w:t>Coverage</w:t>
            </w:r>
          </w:p>
        </w:tc>
      </w:tr>
      <w:tr>
        <w:tc>
          <w:tcPr>
            <w:tcW w:type="dxa" w:w="1440"/>
          </w:tcPr>
          <w:p>
            <w:pPr>
              <w:spacing w:after="40"/>
            </w:pPr>
            <w:r/>
            <w:r>
              <w:rPr>
                <w:color w:val="222222"/>
                <w:sz w:val="17"/>
              </w:rPr>
              <w:t>Tier 1</w:t>
            </w:r>
          </w:p>
        </w:tc>
        <w:tc>
          <w:tcPr>
            <w:tcW w:type="dxa" w:w="1872"/>
          </w:tcPr>
          <w:p>
            <w:pPr>
              <w:spacing w:after="40"/>
            </w:pPr>
            <w:r/>
            <w:r>
              <w:rPr>
                <w:color w:val="222222"/>
                <w:sz w:val="17"/>
              </w:rPr>
              <w:t>250 or more</w:t>
            </w:r>
          </w:p>
        </w:tc>
        <w:tc>
          <w:tcPr>
            <w:tcW w:type="dxa" w:w="1152"/>
          </w:tcPr>
          <w:p>
            <w:pPr>
              <w:spacing w:after="40"/>
            </w:pPr>
            <w:r/>
            <w:r>
              <w:rPr>
                <w:color w:val="222222"/>
                <w:sz w:val="17"/>
              </w:rPr>
              <w:t>30</w:t>
            </w:r>
          </w:p>
        </w:tc>
        <w:tc>
          <w:tcPr>
            <w:tcW w:type="dxa" w:w="2592"/>
          </w:tcPr>
          <w:p>
            <w:pPr>
              <w:spacing w:after="40"/>
            </w:pPr>
            <w:r/>
            <w:r>
              <w:rPr>
                <w:color w:val="222222"/>
                <w:sz w:val="17"/>
              </w:rPr>
              <w:t>29</w:t>
            </w:r>
          </w:p>
        </w:tc>
        <w:tc>
          <w:tcPr>
            <w:tcW w:type="dxa" w:w="1440"/>
          </w:tcPr>
          <w:p>
            <w:pPr>
              <w:spacing w:after="40"/>
            </w:pPr>
            <w:r/>
            <w:r>
              <w:rPr>
                <w:color w:val="222222"/>
                <w:sz w:val="17"/>
              </w:rPr>
              <w:t>97 percent</w:t>
            </w:r>
          </w:p>
        </w:tc>
      </w:tr>
      <w:tr>
        <w:tc>
          <w:tcPr>
            <w:tcW w:type="dxa" w:w="1440"/>
          </w:tcPr>
          <w:p>
            <w:pPr>
              <w:spacing w:after="40"/>
            </w:pPr>
            <w:r/>
            <w:r>
              <w:rPr>
                <w:color w:val="222222"/>
                <w:sz w:val="17"/>
              </w:rPr>
              <w:t>Tier 2</w:t>
            </w:r>
          </w:p>
        </w:tc>
        <w:tc>
          <w:tcPr>
            <w:tcW w:type="dxa" w:w="1872"/>
          </w:tcPr>
          <w:p>
            <w:pPr>
              <w:spacing w:after="40"/>
            </w:pPr>
            <w:r/>
            <w:r>
              <w:rPr>
                <w:color w:val="222222"/>
                <w:sz w:val="17"/>
              </w:rPr>
              <w:t>175 to 249</w:t>
            </w:r>
          </w:p>
        </w:tc>
        <w:tc>
          <w:tcPr>
            <w:tcW w:type="dxa" w:w="1152"/>
          </w:tcPr>
          <w:p>
            <w:pPr>
              <w:spacing w:after="40"/>
            </w:pPr>
            <w:r/>
            <w:r>
              <w:rPr>
                <w:color w:val="222222"/>
                <w:sz w:val="17"/>
              </w:rPr>
              <w:t>66</w:t>
            </w:r>
          </w:p>
        </w:tc>
        <w:tc>
          <w:tcPr>
            <w:tcW w:type="dxa" w:w="2592"/>
          </w:tcPr>
          <w:p>
            <w:pPr>
              <w:spacing w:after="40"/>
            </w:pPr>
            <w:r/>
            <w:r>
              <w:rPr>
                <w:color w:val="222222"/>
                <w:sz w:val="17"/>
              </w:rPr>
              <w:t>59</w:t>
            </w:r>
          </w:p>
        </w:tc>
        <w:tc>
          <w:tcPr>
            <w:tcW w:type="dxa" w:w="1440"/>
          </w:tcPr>
          <w:p>
            <w:pPr>
              <w:spacing w:after="40"/>
            </w:pPr>
            <w:r/>
            <w:r>
              <w:rPr>
                <w:color w:val="222222"/>
                <w:sz w:val="17"/>
              </w:rPr>
              <w:t>89 percent</w:t>
            </w:r>
          </w:p>
        </w:tc>
      </w:tr>
      <w:tr>
        <w:tc>
          <w:tcPr>
            <w:tcW w:type="dxa" w:w="1440"/>
          </w:tcPr>
          <w:p>
            <w:pPr>
              <w:spacing w:after="40"/>
            </w:pPr>
            <w:r/>
            <w:r>
              <w:rPr>
                <w:color w:val="222222"/>
                <w:sz w:val="17"/>
              </w:rPr>
              <w:t>Tier 3</w:t>
            </w:r>
          </w:p>
        </w:tc>
        <w:tc>
          <w:tcPr>
            <w:tcW w:type="dxa" w:w="1872"/>
          </w:tcPr>
          <w:p>
            <w:pPr>
              <w:spacing w:after="40"/>
            </w:pPr>
            <w:r/>
            <w:r>
              <w:rPr>
                <w:color w:val="222222"/>
                <w:sz w:val="17"/>
              </w:rPr>
              <w:t>125 to 174</w:t>
            </w:r>
          </w:p>
        </w:tc>
        <w:tc>
          <w:tcPr>
            <w:tcW w:type="dxa" w:w="1152"/>
          </w:tcPr>
          <w:p>
            <w:pPr>
              <w:spacing w:after="40"/>
            </w:pPr>
            <w:r/>
            <w:r>
              <w:rPr>
                <w:color w:val="222222"/>
                <w:sz w:val="17"/>
              </w:rPr>
              <w:t>51</w:t>
            </w:r>
          </w:p>
        </w:tc>
        <w:tc>
          <w:tcPr>
            <w:tcW w:type="dxa" w:w="2592"/>
          </w:tcPr>
          <w:p>
            <w:pPr>
              <w:spacing w:after="40"/>
            </w:pPr>
            <w:r/>
            <w:r>
              <w:rPr>
                <w:color w:val="222222"/>
                <w:sz w:val="17"/>
              </w:rPr>
              <w:t>40</w:t>
            </w:r>
          </w:p>
        </w:tc>
        <w:tc>
          <w:tcPr>
            <w:tcW w:type="dxa" w:w="1440"/>
          </w:tcPr>
          <w:p>
            <w:pPr>
              <w:spacing w:after="40"/>
            </w:pPr>
            <w:r/>
            <w:r>
              <w:rPr>
                <w:color w:val="222222"/>
                <w:sz w:val="17"/>
              </w:rPr>
              <w:t>78 percent</w:t>
            </w:r>
          </w:p>
        </w:tc>
      </w:tr>
      <w:tr>
        <w:tc>
          <w:tcPr>
            <w:tcW w:type="dxa" w:w="1440"/>
          </w:tcPr>
          <w:p>
            <w:pPr>
              <w:spacing w:after="40"/>
            </w:pPr>
            <w:r/>
            <w:r>
              <w:rPr>
                <w:color w:val="222222"/>
                <w:sz w:val="17"/>
              </w:rPr>
              <w:t>Tier 4</w:t>
            </w:r>
          </w:p>
        </w:tc>
        <w:tc>
          <w:tcPr>
            <w:tcW w:type="dxa" w:w="1872"/>
          </w:tcPr>
          <w:p>
            <w:pPr>
              <w:spacing w:after="40"/>
            </w:pPr>
            <w:r/>
            <w:r>
              <w:rPr>
                <w:color w:val="222222"/>
                <w:sz w:val="17"/>
              </w:rPr>
              <w:t>75 to 124</w:t>
            </w:r>
          </w:p>
        </w:tc>
        <w:tc>
          <w:tcPr>
            <w:tcW w:type="dxa" w:w="1152"/>
          </w:tcPr>
          <w:p>
            <w:pPr>
              <w:spacing w:after="40"/>
            </w:pPr>
            <w:r/>
            <w:r>
              <w:rPr>
                <w:color w:val="222222"/>
                <w:sz w:val="17"/>
              </w:rPr>
              <w:t>47</w:t>
            </w:r>
          </w:p>
        </w:tc>
        <w:tc>
          <w:tcPr>
            <w:tcW w:type="dxa" w:w="2592"/>
          </w:tcPr>
          <w:p>
            <w:pPr>
              <w:spacing w:after="40"/>
            </w:pPr>
            <w:r/>
            <w:r>
              <w:rPr>
                <w:color w:val="222222"/>
                <w:sz w:val="17"/>
              </w:rPr>
              <w:t>32</w:t>
            </w:r>
          </w:p>
        </w:tc>
        <w:tc>
          <w:tcPr>
            <w:tcW w:type="dxa" w:w="1440"/>
          </w:tcPr>
          <w:p>
            <w:pPr>
              <w:spacing w:after="40"/>
            </w:pPr>
            <w:r/>
            <w:r>
              <w:rPr>
                <w:color w:val="222222"/>
                <w:sz w:val="17"/>
              </w:rPr>
              <w:t>68 percent</w:t>
            </w:r>
          </w:p>
        </w:tc>
      </w:tr>
      <w:tr>
        <w:tc>
          <w:tcPr>
            <w:tcW w:type="dxa" w:w="1440"/>
          </w:tcPr>
          <w:p>
            <w:pPr>
              <w:spacing w:after="40"/>
            </w:pPr>
            <w:r/>
            <w:r>
              <w:rPr>
                <w:color w:val="222222"/>
                <w:sz w:val="17"/>
              </w:rPr>
              <w:t>Tier 5</w:t>
            </w:r>
          </w:p>
        </w:tc>
        <w:tc>
          <w:tcPr>
            <w:tcW w:type="dxa" w:w="1872"/>
          </w:tcPr>
          <w:p>
            <w:pPr>
              <w:spacing w:after="40"/>
            </w:pPr>
            <w:r/>
            <w:r>
              <w:rPr>
                <w:color w:val="222222"/>
                <w:sz w:val="17"/>
              </w:rPr>
              <w:t>Under 75</w:t>
            </w:r>
          </w:p>
        </w:tc>
        <w:tc>
          <w:tcPr>
            <w:tcW w:type="dxa" w:w="1152"/>
          </w:tcPr>
          <w:p>
            <w:pPr>
              <w:spacing w:after="40"/>
            </w:pPr>
            <w:r/>
            <w:r>
              <w:rPr>
                <w:color w:val="222222"/>
                <w:sz w:val="17"/>
              </w:rPr>
              <w:t>27</w:t>
            </w:r>
          </w:p>
        </w:tc>
        <w:tc>
          <w:tcPr>
            <w:tcW w:type="dxa" w:w="2592"/>
          </w:tcPr>
          <w:p>
            <w:pPr>
              <w:spacing w:after="40"/>
            </w:pPr>
            <w:r/>
            <w:r>
              <w:rPr>
                <w:color w:val="222222"/>
                <w:sz w:val="17"/>
              </w:rPr>
              <w:t>19</w:t>
            </w:r>
          </w:p>
        </w:tc>
        <w:tc>
          <w:tcPr>
            <w:tcW w:type="dxa" w:w="1440"/>
          </w:tcPr>
          <w:p>
            <w:pPr>
              <w:spacing w:after="40"/>
            </w:pPr>
            <w:r/>
            <w:r>
              <w:rPr>
                <w:color w:val="222222"/>
                <w:sz w:val="17"/>
              </w:rPr>
              <w:t>70 percent</w:t>
            </w:r>
          </w:p>
        </w:tc>
      </w:tr>
    </w:tbl>
    <w:p>
      <w:pPr>
        <w:spacing w:after="40"/>
      </w:pPr>
    </w:p>
    <w:p>
      <w:r>
        <w:rPr>
          <w:color w:val="222222"/>
        </w:rPr>
        <w:t>Tier 5 studios carry Coordinator coverage at a higher rate than Tier 4 studios despite serving less than half the traffic. That inversion is the signal that placement has not been driven by utilization.</w:t>
      </w:r>
    </w:p>
    <w:p>
      <w:pPr>
        <w:spacing w:before="260" w:after="80"/>
      </w:pPr>
      <w:r>
        <w:rPr>
          <w:b/>
          <w:color w:val="222222"/>
          <w:sz w:val="20"/>
        </w:rPr>
        <w:t>THE INVERSION IS SHARPER INSIDE THE TEAMS</w:t>
      </w:r>
    </w:p>
    <w:p>
      <w:r>
        <w:rPr>
          <w:color w:val="222222"/>
        </w:rPr>
        <w:t>Support team headcount tells the same story more starkly. Measured as team members per 100 daily visits, the ratio moves in the wrong direction. Our smallest studios are the most richly staffed relative to the work in front of them, and our largest studios are the leanest.</w:t>
      </w:r>
    </w:p>
    <w:tbl>
      <w:tblPr>
        <w:tblStyle w:val="TableGrid"/>
        <w:tblW w:type="auto" w:w="0"/>
        <w:jc w:val="center"/>
        <w:tblLook w:firstColumn="1" w:firstRow="1" w:lastColumn="0" w:lastRow="0" w:noHBand="0" w:noVBand="1" w:val="04A0"/>
      </w:tblPr>
      <w:tblGrid>
        <w:gridCol w:w="3216"/>
        <w:gridCol w:w="3216"/>
        <w:gridCol w:w="3216"/>
      </w:tblGrid>
      <w:tr>
        <w:tc>
          <w:tcPr>
            <w:tcW w:type="dxa" w:w="1728"/>
            <w:shd w:val="clear" w:color="auto" w:fill="F2F2F2"/>
          </w:tcPr>
          <w:p>
            <w:pPr>
              <w:spacing w:after="40"/>
            </w:pPr>
            <w:r/>
            <w:r>
              <w:rPr>
                <w:b/>
                <w:color w:val="222222"/>
                <w:sz w:val="17"/>
              </w:rPr>
              <w:t>Tier</w:t>
            </w:r>
          </w:p>
        </w:tc>
        <w:tc>
          <w:tcPr>
            <w:tcW w:type="dxa" w:w="2880"/>
            <w:shd w:val="clear" w:color="auto" w:fill="F2F2F2"/>
          </w:tcPr>
          <w:p>
            <w:pPr>
              <w:spacing w:after="40"/>
            </w:pPr>
            <w:r/>
            <w:r>
              <w:rPr>
                <w:b/>
                <w:color w:val="222222"/>
                <w:sz w:val="17"/>
              </w:rPr>
              <w:t>Median team per 100 visits</w:t>
            </w:r>
          </w:p>
        </w:tc>
        <w:tc>
          <w:tcPr>
            <w:tcW w:type="dxa" w:w="2880"/>
            <w:shd w:val="clear" w:color="auto" w:fill="F2F2F2"/>
          </w:tcPr>
          <w:p>
            <w:pPr>
              <w:spacing w:after="40"/>
            </w:pPr>
            <w:r/>
            <w:r>
              <w:rPr>
                <w:b/>
                <w:color w:val="222222"/>
                <w:sz w:val="17"/>
              </w:rPr>
              <w:t>Range within tier</w:t>
            </w:r>
          </w:p>
        </w:tc>
      </w:tr>
      <w:tr>
        <w:tc>
          <w:tcPr>
            <w:tcW w:type="dxa" w:w="1728"/>
          </w:tcPr>
          <w:p>
            <w:pPr>
              <w:spacing w:after="40"/>
            </w:pPr>
            <w:r/>
            <w:r>
              <w:rPr>
                <w:color w:val="222222"/>
                <w:sz w:val="17"/>
              </w:rPr>
              <w:t>Tier 1</w:t>
            </w:r>
          </w:p>
        </w:tc>
        <w:tc>
          <w:tcPr>
            <w:tcW w:type="dxa" w:w="2880"/>
          </w:tcPr>
          <w:p>
            <w:pPr>
              <w:spacing w:after="40"/>
            </w:pPr>
            <w:r/>
            <w:r>
              <w:rPr>
                <w:color w:val="222222"/>
                <w:sz w:val="17"/>
              </w:rPr>
              <w:t>5.6</w:t>
            </w:r>
          </w:p>
        </w:tc>
        <w:tc>
          <w:tcPr>
            <w:tcW w:type="dxa" w:w="2880"/>
          </w:tcPr>
          <w:p>
            <w:pPr>
              <w:spacing w:after="40"/>
            </w:pPr>
            <w:r/>
            <w:r>
              <w:rPr>
                <w:color w:val="222222"/>
                <w:sz w:val="17"/>
              </w:rPr>
              <w:t>0.7 to 16.4</w:t>
            </w:r>
          </w:p>
        </w:tc>
      </w:tr>
      <w:tr>
        <w:tc>
          <w:tcPr>
            <w:tcW w:type="dxa" w:w="1728"/>
          </w:tcPr>
          <w:p>
            <w:pPr>
              <w:spacing w:after="40"/>
            </w:pPr>
            <w:r/>
            <w:r>
              <w:rPr>
                <w:color w:val="222222"/>
                <w:sz w:val="17"/>
              </w:rPr>
              <w:t>Tier 2</w:t>
            </w:r>
          </w:p>
        </w:tc>
        <w:tc>
          <w:tcPr>
            <w:tcW w:type="dxa" w:w="2880"/>
          </w:tcPr>
          <w:p>
            <w:pPr>
              <w:spacing w:after="40"/>
            </w:pPr>
            <w:r/>
            <w:r>
              <w:rPr>
                <w:color w:val="222222"/>
                <w:sz w:val="17"/>
              </w:rPr>
              <w:t>6.4</w:t>
            </w:r>
          </w:p>
        </w:tc>
        <w:tc>
          <w:tcPr>
            <w:tcW w:type="dxa" w:w="2880"/>
          </w:tcPr>
          <w:p>
            <w:pPr>
              <w:spacing w:after="40"/>
            </w:pPr>
            <w:r/>
            <w:r>
              <w:rPr>
                <w:color w:val="222222"/>
                <w:sz w:val="17"/>
              </w:rPr>
              <w:t>0.5 to 21.4</w:t>
            </w:r>
          </w:p>
        </w:tc>
      </w:tr>
      <w:tr>
        <w:tc>
          <w:tcPr>
            <w:tcW w:type="dxa" w:w="1728"/>
          </w:tcPr>
          <w:p>
            <w:pPr>
              <w:spacing w:after="40"/>
            </w:pPr>
            <w:r/>
            <w:r>
              <w:rPr>
                <w:color w:val="222222"/>
                <w:sz w:val="17"/>
              </w:rPr>
              <w:t>Tier 3</w:t>
            </w:r>
          </w:p>
        </w:tc>
        <w:tc>
          <w:tcPr>
            <w:tcW w:type="dxa" w:w="2880"/>
          </w:tcPr>
          <w:p>
            <w:pPr>
              <w:spacing w:after="40"/>
            </w:pPr>
            <w:r/>
            <w:r>
              <w:rPr>
                <w:color w:val="222222"/>
                <w:sz w:val="17"/>
              </w:rPr>
              <w:t>8.1</w:t>
            </w:r>
          </w:p>
        </w:tc>
        <w:tc>
          <w:tcPr>
            <w:tcW w:type="dxa" w:w="2880"/>
          </w:tcPr>
          <w:p>
            <w:pPr>
              <w:spacing w:after="40"/>
            </w:pPr>
            <w:r/>
            <w:r>
              <w:rPr>
                <w:color w:val="222222"/>
                <w:sz w:val="17"/>
              </w:rPr>
              <w:t>1.3 to 19.1</w:t>
            </w:r>
          </w:p>
        </w:tc>
      </w:tr>
      <w:tr>
        <w:tc>
          <w:tcPr>
            <w:tcW w:type="dxa" w:w="1728"/>
          </w:tcPr>
          <w:p>
            <w:pPr>
              <w:spacing w:after="40"/>
            </w:pPr>
            <w:r/>
            <w:r>
              <w:rPr>
                <w:color w:val="222222"/>
                <w:sz w:val="17"/>
              </w:rPr>
              <w:t>Tier 4</w:t>
            </w:r>
          </w:p>
        </w:tc>
        <w:tc>
          <w:tcPr>
            <w:tcW w:type="dxa" w:w="2880"/>
          </w:tcPr>
          <w:p>
            <w:pPr>
              <w:spacing w:after="40"/>
            </w:pPr>
            <w:r/>
            <w:r>
              <w:rPr>
                <w:color w:val="222222"/>
                <w:sz w:val="17"/>
              </w:rPr>
              <w:t>8.2</w:t>
            </w:r>
          </w:p>
        </w:tc>
        <w:tc>
          <w:tcPr>
            <w:tcW w:type="dxa" w:w="2880"/>
          </w:tcPr>
          <w:p>
            <w:pPr>
              <w:spacing w:after="40"/>
            </w:pPr>
            <w:r/>
            <w:r>
              <w:rPr>
                <w:color w:val="222222"/>
                <w:sz w:val="17"/>
              </w:rPr>
              <w:t>1.0 to 32.1</w:t>
            </w:r>
          </w:p>
        </w:tc>
      </w:tr>
      <w:tr>
        <w:tc>
          <w:tcPr>
            <w:tcW w:type="dxa" w:w="1728"/>
          </w:tcPr>
          <w:p>
            <w:pPr>
              <w:spacing w:after="40"/>
            </w:pPr>
            <w:r/>
            <w:r>
              <w:rPr>
                <w:color w:val="222222"/>
                <w:sz w:val="17"/>
              </w:rPr>
              <w:t>Tier 5</w:t>
            </w:r>
          </w:p>
        </w:tc>
        <w:tc>
          <w:tcPr>
            <w:tcW w:type="dxa" w:w="2880"/>
          </w:tcPr>
          <w:p>
            <w:pPr>
              <w:spacing w:after="40"/>
            </w:pPr>
            <w:r/>
            <w:r>
              <w:rPr>
                <w:color w:val="222222"/>
                <w:sz w:val="17"/>
              </w:rPr>
              <w:t>9.5</w:t>
            </w:r>
          </w:p>
        </w:tc>
        <w:tc>
          <w:tcPr>
            <w:tcW w:type="dxa" w:w="2880"/>
          </w:tcPr>
          <w:p>
            <w:pPr>
              <w:spacing w:after="40"/>
            </w:pPr>
            <w:r/>
            <w:r>
              <w:rPr>
                <w:color w:val="222222"/>
                <w:sz w:val="17"/>
              </w:rPr>
              <w:t>1.9 to 63.0</w:t>
            </w:r>
          </w:p>
        </w:tc>
      </w:tr>
    </w:tbl>
    <w:p>
      <w:pPr>
        <w:spacing w:after="40"/>
      </w:pPr>
    </w:p>
    <w:p>
      <w:pPr>
        <w:spacing w:before="120" w:after="200"/>
        <w:ind w:left="216"/>
        <w:pBdr>
          <w:left w:val="single" w:sz="18" w:color="FF8200" w:space="8"/>
        </w:pBdr>
      </w:pPr>
      <w:r>
        <w:rPr>
          <w:b/>
          <w:color w:val="222222"/>
        </w:rPr>
        <w:t xml:space="preserve">The clearest example. </w:t>
      </w:r>
      <w:r>
        <w:rPr>
          <w:color w:val="222222"/>
          <w:sz w:val="20"/>
        </w:rPr>
        <w:t>A Tier 1 studio serving 272 daily visits operates with 2 support team members. A Tier 5 studio serving 38 daily visits operates with 24. Both of those are real studios in the network today.</w:t>
      </w:r>
    </w:p>
    <w:p>
      <w:r>
        <w:rPr>
          <w:color w:val="222222"/>
        </w:rPr>
        <w:t>The range column matters as much as the median. Inside Tier 2 alone the ratio runs from 0.5 to 21.4. That is a fortyfold spread among studios we treat as peers. There is no staffing model producing that. There is an absence of one.</w:t>
      </w:r>
    </w:p>
    <w:p>
      <w:pPr>
        <w:spacing w:before="260" w:after="80"/>
      </w:pPr>
      <w:r>
        <w:rPr>
          <w:b/>
          <w:color w:val="222222"/>
          <w:sz w:val="20"/>
        </w:rPr>
        <w:t>WHAT WE ARE PROPOSING</w:t>
      </w:r>
    </w:p>
    <w:p>
      <w:r>
        <w:rPr>
          <w:color w:val="222222"/>
        </w:rPr>
        <w:t>Tier every studio by average daily attendance, and attach a required management structure to each tier. Attendance is the right input because it is the closest available proxy for the operating load a studio actually carries. Membership counts do not capture drop in traffic, class packs, or guest volume. Footsteps do.</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008"/>
            <w:shd w:val="clear" w:color="auto" w:fill="F2F2F2"/>
          </w:tcPr>
          <w:p>
            <w:pPr>
              <w:spacing w:after="40"/>
            </w:pPr>
            <w:r/>
            <w:r>
              <w:rPr>
                <w:b/>
                <w:color w:val="222222"/>
                <w:sz w:val="17"/>
              </w:rPr>
              <w:t>Tier</w:t>
            </w:r>
          </w:p>
        </w:tc>
        <w:tc>
          <w:tcPr>
            <w:tcW w:type="dxa" w:w="1296"/>
            <w:shd w:val="clear" w:color="auto" w:fill="F2F2F2"/>
          </w:tcPr>
          <w:p>
            <w:pPr>
              <w:spacing w:after="40"/>
            </w:pPr>
            <w:r/>
            <w:r>
              <w:rPr>
                <w:b/>
                <w:color w:val="222222"/>
                <w:sz w:val="17"/>
              </w:rPr>
              <w:t>Name</w:t>
            </w:r>
          </w:p>
        </w:tc>
        <w:tc>
          <w:tcPr>
            <w:tcW w:type="dxa" w:w="1584"/>
            <w:shd w:val="clear" w:color="auto" w:fill="F2F2F2"/>
          </w:tcPr>
          <w:p>
            <w:pPr>
              <w:spacing w:after="40"/>
            </w:pPr>
            <w:r/>
            <w:r>
              <w:rPr>
                <w:b/>
                <w:color w:val="222222"/>
                <w:sz w:val="17"/>
              </w:rPr>
              <w:t>Daily attendance</w:t>
            </w:r>
          </w:p>
        </w:tc>
        <w:tc>
          <w:tcPr>
            <w:tcW w:type="dxa" w:w="3744"/>
            <w:shd w:val="clear" w:color="auto" w:fill="F2F2F2"/>
          </w:tcPr>
          <w:p>
            <w:pPr>
              <w:spacing w:after="40"/>
            </w:pPr>
            <w:r/>
            <w:r>
              <w:rPr>
                <w:b/>
                <w:color w:val="222222"/>
                <w:sz w:val="17"/>
              </w:rPr>
              <w:t>Required management structure</w:t>
            </w:r>
          </w:p>
        </w:tc>
        <w:tc>
          <w:tcPr>
            <w:tcW w:type="dxa" w:w="864"/>
            <w:shd w:val="clear" w:color="auto" w:fill="F2F2F2"/>
          </w:tcPr>
          <w:p>
            <w:pPr>
              <w:spacing w:after="40"/>
            </w:pPr>
            <w:r/>
            <w:r>
              <w:rPr>
                <w:b/>
                <w:color w:val="222222"/>
                <w:sz w:val="17"/>
              </w:rPr>
              <w:t>Studios</w:t>
            </w:r>
          </w:p>
        </w:tc>
      </w:tr>
      <w:tr>
        <w:tc>
          <w:tcPr>
            <w:tcW w:type="dxa" w:w="1008"/>
          </w:tcPr>
          <w:p>
            <w:pPr>
              <w:spacing w:after="40"/>
            </w:pPr>
            <w:r/>
            <w:r>
              <w:rPr>
                <w:color w:val="222222"/>
                <w:sz w:val="17"/>
              </w:rPr>
              <w:t>Tier 1</w:t>
            </w:r>
          </w:p>
        </w:tc>
        <w:tc>
          <w:tcPr>
            <w:tcW w:type="dxa" w:w="1296"/>
          </w:tcPr>
          <w:p>
            <w:pPr>
              <w:spacing w:after="40"/>
            </w:pPr>
            <w:r/>
            <w:r>
              <w:rPr>
                <w:color w:val="222222"/>
                <w:sz w:val="17"/>
              </w:rPr>
              <w:t>Flagship</w:t>
            </w:r>
          </w:p>
        </w:tc>
        <w:tc>
          <w:tcPr>
            <w:tcW w:type="dxa" w:w="1584"/>
          </w:tcPr>
          <w:p>
            <w:pPr>
              <w:spacing w:after="40"/>
            </w:pPr>
            <w:r/>
            <w:r>
              <w:rPr>
                <w:color w:val="222222"/>
                <w:sz w:val="17"/>
              </w:rPr>
              <w:t>250 or more</w:t>
            </w:r>
          </w:p>
        </w:tc>
        <w:tc>
          <w:tcPr>
            <w:tcW w:type="dxa" w:w="3744"/>
          </w:tcPr>
          <w:p>
            <w:pPr>
              <w:spacing w:after="40"/>
            </w:pPr>
            <w:r/>
            <w:r>
              <w:rPr>
                <w:color w:val="222222"/>
                <w:sz w:val="17"/>
              </w:rPr>
              <w:t>Studio Manager, full time Coordinator, part time Coordinator, Manager in Training</w:t>
            </w:r>
          </w:p>
        </w:tc>
        <w:tc>
          <w:tcPr>
            <w:tcW w:type="dxa" w:w="864"/>
          </w:tcPr>
          <w:p>
            <w:pPr>
              <w:spacing w:after="40"/>
            </w:pPr>
            <w:r/>
            <w:r>
              <w:rPr>
                <w:color w:val="222222"/>
                <w:sz w:val="17"/>
              </w:rPr>
              <w:t>30</w:t>
            </w:r>
          </w:p>
        </w:tc>
      </w:tr>
      <w:tr>
        <w:tc>
          <w:tcPr>
            <w:tcW w:type="dxa" w:w="1008"/>
          </w:tcPr>
          <w:p>
            <w:pPr>
              <w:spacing w:after="40"/>
            </w:pPr>
            <w:r/>
            <w:r>
              <w:rPr>
                <w:color w:val="222222"/>
                <w:sz w:val="17"/>
              </w:rPr>
              <w:t>Tier 2</w:t>
            </w:r>
          </w:p>
        </w:tc>
        <w:tc>
          <w:tcPr>
            <w:tcW w:type="dxa" w:w="1296"/>
          </w:tcPr>
          <w:p>
            <w:pPr>
              <w:spacing w:after="40"/>
            </w:pPr>
            <w:r/>
            <w:r>
              <w:rPr>
                <w:color w:val="222222"/>
                <w:sz w:val="17"/>
              </w:rPr>
              <w:t>Large</w:t>
            </w:r>
          </w:p>
        </w:tc>
        <w:tc>
          <w:tcPr>
            <w:tcW w:type="dxa" w:w="1584"/>
          </w:tcPr>
          <w:p>
            <w:pPr>
              <w:spacing w:after="40"/>
            </w:pPr>
            <w:r/>
            <w:r>
              <w:rPr>
                <w:color w:val="222222"/>
                <w:sz w:val="17"/>
              </w:rPr>
              <w:t>175 to 249</w:t>
            </w:r>
          </w:p>
        </w:tc>
        <w:tc>
          <w:tcPr>
            <w:tcW w:type="dxa" w:w="3744"/>
          </w:tcPr>
          <w:p>
            <w:pPr>
              <w:spacing w:after="40"/>
            </w:pPr>
            <w:r/>
            <w:r>
              <w:rPr>
                <w:color w:val="222222"/>
                <w:sz w:val="17"/>
              </w:rPr>
              <w:t>Studio Manager, full time Coordinator, part time Coordinator</w:t>
            </w:r>
          </w:p>
        </w:tc>
        <w:tc>
          <w:tcPr>
            <w:tcW w:type="dxa" w:w="864"/>
          </w:tcPr>
          <w:p>
            <w:pPr>
              <w:spacing w:after="40"/>
            </w:pPr>
            <w:r/>
            <w:r>
              <w:rPr>
                <w:color w:val="222222"/>
                <w:sz w:val="17"/>
              </w:rPr>
              <w:t>66</w:t>
            </w:r>
          </w:p>
        </w:tc>
      </w:tr>
      <w:tr>
        <w:tc>
          <w:tcPr>
            <w:tcW w:type="dxa" w:w="1008"/>
          </w:tcPr>
          <w:p>
            <w:pPr>
              <w:spacing w:after="40"/>
            </w:pPr>
            <w:r/>
            <w:r>
              <w:rPr>
                <w:color w:val="222222"/>
                <w:sz w:val="17"/>
              </w:rPr>
              <w:t>Tier 3</w:t>
            </w:r>
          </w:p>
        </w:tc>
        <w:tc>
          <w:tcPr>
            <w:tcW w:type="dxa" w:w="1296"/>
          </w:tcPr>
          <w:p>
            <w:pPr>
              <w:spacing w:after="40"/>
            </w:pPr>
            <w:r/>
            <w:r>
              <w:rPr>
                <w:color w:val="222222"/>
                <w:sz w:val="17"/>
              </w:rPr>
              <w:t>Core</w:t>
            </w:r>
          </w:p>
        </w:tc>
        <w:tc>
          <w:tcPr>
            <w:tcW w:type="dxa" w:w="1584"/>
          </w:tcPr>
          <w:p>
            <w:pPr>
              <w:spacing w:after="40"/>
            </w:pPr>
            <w:r/>
            <w:r>
              <w:rPr>
                <w:color w:val="222222"/>
                <w:sz w:val="17"/>
              </w:rPr>
              <w:t>125 to 174</w:t>
            </w:r>
          </w:p>
        </w:tc>
        <w:tc>
          <w:tcPr>
            <w:tcW w:type="dxa" w:w="3744"/>
          </w:tcPr>
          <w:p>
            <w:pPr>
              <w:spacing w:after="40"/>
            </w:pPr>
            <w:r/>
            <w:r>
              <w:rPr>
                <w:color w:val="222222"/>
                <w:sz w:val="17"/>
              </w:rPr>
              <w:t>Studio Manager, full time Coordinator</w:t>
            </w:r>
          </w:p>
        </w:tc>
        <w:tc>
          <w:tcPr>
            <w:tcW w:type="dxa" w:w="864"/>
          </w:tcPr>
          <w:p>
            <w:pPr>
              <w:spacing w:after="40"/>
            </w:pPr>
            <w:r/>
            <w:r>
              <w:rPr>
                <w:color w:val="222222"/>
                <w:sz w:val="17"/>
              </w:rPr>
              <w:t>51</w:t>
            </w:r>
          </w:p>
        </w:tc>
      </w:tr>
      <w:tr>
        <w:tc>
          <w:tcPr>
            <w:tcW w:type="dxa" w:w="1008"/>
          </w:tcPr>
          <w:p>
            <w:pPr>
              <w:spacing w:after="40"/>
            </w:pPr>
            <w:r/>
            <w:r>
              <w:rPr>
                <w:color w:val="222222"/>
                <w:sz w:val="17"/>
              </w:rPr>
              <w:t>Tier 4</w:t>
            </w:r>
          </w:p>
        </w:tc>
        <w:tc>
          <w:tcPr>
            <w:tcW w:type="dxa" w:w="1296"/>
          </w:tcPr>
          <w:p>
            <w:pPr>
              <w:spacing w:after="40"/>
            </w:pPr>
            <w:r/>
            <w:r>
              <w:rPr>
                <w:color w:val="222222"/>
                <w:sz w:val="17"/>
              </w:rPr>
              <w:t>Standard</w:t>
            </w:r>
          </w:p>
        </w:tc>
        <w:tc>
          <w:tcPr>
            <w:tcW w:type="dxa" w:w="1584"/>
          </w:tcPr>
          <w:p>
            <w:pPr>
              <w:spacing w:after="40"/>
            </w:pPr>
            <w:r/>
            <w:r>
              <w:rPr>
                <w:color w:val="222222"/>
                <w:sz w:val="17"/>
              </w:rPr>
              <w:t>75 to 124</w:t>
            </w:r>
          </w:p>
        </w:tc>
        <w:tc>
          <w:tcPr>
            <w:tcW w:type="dxa" w:w="3744"/>
          </w:tcPr>
          <w:p>
            <w:pPr>
              <w:spacing w:after="40"/>
            </w:pPr>
            <w:r/>
            <w:r>
              <w:rPr>
                <w:color w:val="222222"/>
                <w:sz w:val="17"/>
              </w:rPr>
              <w:t>Studio Manager, part time Coordinator at 25 hours</w:t>
            </w:r>
          </w:p>
        </w:tc>
        <w:tc>
          <w:tcPr>
            <w:tcW w:type="dxa" w:w="864"/>
          </w:tcPr>
          <w:p>
            <w:pPr>
              <w:spacing w:after="40"/>
            </w:pPr>
            <w:r/>
            <w:r>
              <w:rPr>
                <w:color w:val="222222"/>
                <w:sz w:val="17"/>
              </w:rPr>
              <w:t>47</w:t>
            </w:r>
          </w:p>
        </w:tc>
      </w:tr>
      <w:tr>
        <w:tc>
          <w:tcPr>
            <w:tcW w:type="dxa" w:w="1008"/>
          </w:tcPr>
          <w:p>
            <w:pPr>
              <w:spacing w:after="40"/>
            </w:pPr>
            <w:r/>
            <w:r>
              <w:rPr>
                <w:color w:val="222222"/>
                <w:sz w:val="17"/>
              </w:rPr>
              <w:t>Tier 5</w:t>
            </w:r>
          </w:p>
        </w:tc>
        <w:tc>
          <w:tcPr>
            <w:tcW w:type="dxa" w:w="1296"/>
          </w:tcPr>
          <w:p>
            <w:pPr>
              <w:spacing w:after="40"/>
            </w:pPr>
            <w:r/>
            <w:r>
              <w:rPr>
                <w:color w:val="222222"/>
                <w:sz w:val="17"/>
              </w:rPr>
              <w:t>Emerging</w:t>
            </w:r>
          </w:p>
        </w:tc>
        <w:tc>
          <w:tcPr>
            <w:tcW w:type="dxa" w:w="1584"/>
          </w:tcPr>
          <w:p>
            <w:pPr>
              <w:spacing w:after="40"/>
            </w:pPr>
            <w:r/>
            <w:r>
              <w:rPr>
                <w:color w:val="222222"/>
                <w:sz w:val="17"/>
              </w:rPr>
              <w:t>Under 75</w:t>
            </w:r>
          </w:p>
        </w:tc>
        <w:tc>
          <w:tcPr>
            <w:tcW w:type="dxa" w:w="3744"/>
          </w:tcPr>
          <w:p>
            <w:pPr>
              <w:spacing w:after="40"/>
            </w:pPr>
            <w:r/>
            <w:r>
              <w:rPr>
                <w:color w:val="222222"/>
                <w:sz w:val="17"/>
              </w:rPr>
              <w:t>Studio Manager, part time Coordinator at 15 hours</w:t>
            </w:r>
          </w:p>
        </w:tc>
        <w:tc>
          <w:tcPr>
            <w:tcW w:type="dxa" w:w="864"/>
          </w:tcPr>
          <w:p>
            <w:pPr>
              <w:spacing w:after="40"/>
            </w:pPr>
            <w:r/>
            <w:r>
              <w:rPr>
                <w:color w:val="222222"/>
                <w:sz w:val="17"/>
              </w:rPr>
              <w:t>27</w:t>
            </w:r>
          </w:p>
        </w:tc>
      </w:tr>
    </w:tbl>
    <w:p>
      <w:pPr>
        <w:spacing w:after="40"/>
      </w:pPr>
    </w:p>
    <w:p>
      <w:r>
        <w:rPr>
          <w:color w:val="222222"/>
        </w:rPr>
        <w:t>The Manager in Training role appears only at Tier 1. Those are the studios with enough volume and complexity to develop the next generation of Studio Managers while running the business.</w:t>
      </w:r>
    </w:p>
    <w:p>
      <w:pPr>
        <w:spacing w:before="260" w:after="80"/>
      </w:pPr>
      <w:r>
        <w:rPr>
          <w:b/>
          <w:color w:val="222222"/>
          <w:sz w:val="20"/>
        </w:rPr>
        <w:t>WHAT IT TAKES TO GET THERE</w:t>
      </w:r>
    </w:p>
    <w:p>
      <w:pPr>
        <w:pStyle w:val="ListBullet"/>
        <w:spacing w:after="60"/>
      </w:pPr>
      <w:r>
        <w:rPr>
          <w:b/>
          <w:color w:val="222222"/>
        </w:rPr>
        <w:t xml:space="preserve">67 studios </w:t>
      </w:r>
      <w:r>
        <w:rPr>
          <w:color w:val="222222"/>
        </w:rPr>
        <w:t>currently operate under a shared Area Manager rather than a dedicated Studio Manager. Under a keep one, hire one approach to unpairing, closing this requires 33 new hires.</w:t>
      </w:r>
    </w:p>
    <w:p>
      <w:pPr>
        <w:pStyle w:val="ListBullet"/>
        <w:spacing w:after="60"/>
      </w:pPr>
      <w:r>
        <w:rPr>
          <w:b/>
          <w:color w:val="222222"/>
        </w:rPr>
        <w:t xml:space="preserve">1 vacant Studio Manager role </w:t>
      </w:r>
      <w:r>
        <w:rPr>
          <w:color w:val="222222"/>
        </w:rPr>
        <w:t>at Ardmore, Philadelphia.</w:t>
      </w:r>
    </w:p>
    <w:p>
      <w:pPr>
        <w:pStyle w:val="ListBullet"/>
        <w:spacing w:after="60"/>
      </w:pPr>
      <w:r>
        <w:rPr>
          <w:b/>
          <w:color w:val="222222"/>
        </w:rPr>
        <w:t xml:space="preserve">42 studios </w:t>
      </w:r>
      <w:r>
        <w:rPr>
          <w:color w:val="222222"/>
        </w:rPr>
        <w:t>do not have a Studio Coordinator on payroll. Of those, 40 sit in studios that are profitable or near breakeven and are cleared to hire. 2 are unprofitable and need a District Manager assessment first.</w:t>
      </w:r>
    </w:p>
    <w:p>
      <w:r>
        <w:rPr>
          <w:color w:val="222222"/>
        </w:rPr>
        <w:t>Cost modeling is not included in this memo. The studio dataset carries attendance, payroll headcount, and profitability, but it does not carry compensation. Building the investment case requires the market level salary file.</w:t>
      </w:r>
    </w:p>
    <w:p>
      <w:pPr>
        <w:spacing w:before="260" w:after="80"/>
      </w:pPr>
      <w:r>
        <w:rPr>
          <w:b/>
          <w:color w:val="222222"/>
          <w:sz w:val="20"/>
        </w:rPr>
        <w:t>WHY THIS MATTERS BEYOND STAFFING</w:t>
      </w:r>
    </w:p>
    <w:p>
      <w:r>
        <w:rPr>
          <w:color w:val="222222"/>
        </w:rPr>
        <w:t>Tiering is the foundation for everything downstream. It tells us what good looks like at each studio, which makes the gap measurable. Without it, every staffing conversation is a negotiation. With it, the question becomes simple: does this studio have what its tier requires, and if not, what is the shortfall.</w:t>
      </w:r>
    </w:p>
    <w:p>
      <w:r>
        <w:rPr>
          <w:color w:val="222222"/>
        </w:rPr>
        <w:t>It also creates the structure the cleanliness work depends on. The Studio Coordinator is the role that recruits, schedules, and manages the support team. A studio without that role cannot execute a cleaning standard no matter how much labor we approve. Tiering establishes the Coordinator requirement. The cleanliness framework then builds on top of it.</w:t>
      </w:r>
    </w:p>
    <w:p>
      <w:pPr>
        <w:spacing w:before="320"/>
        <w:pBdr>
          <w:top w:val="single" w:sz="6" w:color="D2D2D2"/>
        </w:pBdr>
      </w:pPr>
      <w:r>
        <w:rPr>
          <w:color w:val="999999"/>
          <w:sz w:val="15"/>
        </w:rPr>
        <w:t>CorePower Yoga  |  Prepared by Michelle Salvatore, SVP Head of Operations  |  September 2026  |  Source: studio payroll and attendance data, 221 active studios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