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b/>
          <w:color w:val="222222"/>
          <w:sz w:val="38"/>
        </w:rPr>
        <w:t>Does Staffing Predict Cleanliness Complaints</w:t>
      </w:r>
    </w:p>
    <w:p>
      <w:pPr>
        <w:spacing w:after="200"/>
      </w:pPr>
      <w:r>
        <w:rPr>
          <w:color w:val="555555"/>
          <w:sz w:val="20"/>
        </w:rPr>
        <w:t>Testing the support team investment case against Listen360 member data</w:t>
      </w:r>
    </w:p>
    <w:p>
      <w:pPr>
        <w:spacing w:after="240"/>
        <w:pBdr>
          <w:bottom w:val="single" w:sz="18" w:color="FF8200"/>
        </w:pBdr>
      </w:pPr>
    </w:p>
    <w:p>
      <w:pPr>
        <w:spacing w:before="260" w:after="80"/>
      </w:pPr>
      <w:r>
        <w:rPr>
          <w:b/>
          <w:color w:val="222222"/>
          <w:sz w:val="20"/>
        </w:rPr>
        <w:t>WHY WE RAN THIS</w:t>
      </w:r>
    </w:p>
    <w:p>
      <w:r>
        <w:rPr>
          <w:color w:val="222222"/>
        </w:rPr>
        <w:t>The cleanliness cohort model proposes a significant labor investment. Before that goes to the board it is worth asking directly whether the member data supports the premise. If more support team members produce cleaner studios, member sentiment should reflect it. We tested that.</w:t>
      </w:r>
    </w:p>
    <w:p>
      <w:r>
        <w:rPr>
          <w:color w:val="222222"/>
        </w:rPr>
        <w:t>The answer is that it does not, at least not in any way this data can detect. That does not invalidate the investment. It changes how we should argue for it.</w:t>
      </w:r>
    </w:p>
    <w:p>
      <w:pPr>
        <w:spacing w:before="260" w:after="80"/>
      </w:pPr>
      <w:r>
        <w:rPr>
          <w:b/>
          <w:color w:val="222222"/>
          <w:sz w:val="20"/>
        </w:rPr>
        <w:t>WHAT WE TESTED</w:t>
      </w:r>
    </w:p>
    <w:p>
      <w:r>
        <w:rPr>
          <w:color w:val="222222"/>
        </w:rPr>
        <w:t>Listen360 provided 7,783 member reviews across 51 days, July 26 through September 14. Of those, 290 were flagged as facility issues. We matched studio level review data to payroll headcount for 202 studios carrying at least ten reviews.</w:t>
      </w:r>
    </w:p>
    <w:p>
      <w:pPr>
        <w:spacing w:before="260" w:after="80"/>
      </w:pPr>
      <w:r>
        <w:rPr>
          <w:b/>
          <w:color w:val="222222"/>
          <w:sz w:val="20"/>
        </w:rPr>
        <w:t>RESULT ONE: STAFFING DOES NOT PREDICT OVERALL SENTIMENT</w:t>
      </w:r>
    </w:p>
    <w:tbl>
      <w:tblPr>
        <w:tblStyle w:val="TableGrid"/>
        <w:tblW w:type="auto" w:w="0"/>
        <w:jc w:val="center"/>
        <w:tblLook w:firstColumn="1" w:firstRow="1" w:lastColumn="0" w:lastRow="0" w:noHBand="0" w:noVBand="1" w:val="04A0"/>
      </w:tblPr>
      <w:tblGrid>
        <w:gridCol w:w="4824"/>
        <w:gridCol w:w="4824"/>
      </w:tblGrid>
      <w:tr>
        <w:tc>
          <w:tcPr>
            <w:tcW w:type="dxa" w:w="5760"/>
            <w:shd w:val="clear" w:color="auto" w:fill="F2F2F2"/>
          </w:tcPr>
          <w:p>
            <w:pPr>
              <w:spacing w:after="40"/>
            </w:pPr>
            <w:r/>
            <w:r>
              <w:rPr>
                <w:b/>
                <w:color w:val="222222"/>
                <w:sz w:val="17"/>
              </w:rPr>
              <w:t>Relationship</w:t>
            </w:r>
          </w:p>
        </w:tc>
        <w:tc>
          <w:tcPr>
            <w:tcW w:type="dxa" w:w="2304"/>
            <w:shd w:val="clear" w:color="auto" w:fill="F2F2F2"/>
          </w:tcPr>
          <w:p>
            <w:pPr>
              <w:spacing w:after="40"/>
            </w:pPr>
            <w:r/>
            <w:r>
              <w:rPr>
                <w:b/>
                <w:color w:val="222222"/>
                <w:sz w:val="17"/>
              </w:rPr>
              <w:t>Correlation</w:t>
            </w:r>
          </w:p>
        </w:tc>
      </w:tr>
      <w:tr>
        <w:tc>
          <w:tcPr>
            <w:tcW w:type="dxa" w:w="5760"/>
          </w:tcPr>
          <w:p>
            <w:pPr>
              <w:spacing w:after="40"/>
            </w:pPr>
            <w:r/>
            <w:r>
              <w:rPr>
                <w:color w:val="222222"/>
                <w:sz w:val="17"/>
              </w:rPr>
              <w:t>Support team headcount against net promoter score</w:t>
            </w:r>
          </w:p>
        </w:tc>
        <w:tc>
          <w:tcPr>
            <w:tcW w:type="dxa" w:w="2304"/>
          </w:tcPr>
          <w:p>
            <w:pPr>
              <w:spacing w:after="40"/>
            </w:pPr>
            <w:r/>
            <w:r>
              <w:rPr>
                <w:color w:val="222222"/>
                <w:sz w:val="17"/>
              </w:rPr>
              <w:t>negative 0.117</w:t>
            </w:r>
          </w:p>
        </w:tc>
      </w:tr>
      <w:tr>
        <w:tc>
          <w:tcPr>
            <w:tcW w:type="dxa" w:w="5760"/>
          </w:tcPr>
          <w:p>
            <w:pPr>
              <w:spacing w:after="40"/>
            </w:pPr>
            <w:r/>
            <w:r>
              <w:rPr>
                <w:color w:val="222222"/>
                <w:sz w:val="17"/>
              </w:rPr>
              <w:t>Gap to the 39 standard against score</w:t>
            </w:r>
          </w:p>
        </w:tc>
        <w:tc>
          <w:tcPr>
            <w:tcW w:type="dxa" w:w="2304"/>
          </w:tcPr>
          <w:p>
            <w:pPr>
              <w:spacing w:after="40"/>
            </w:pPr>
            <w:r/>
            <w:r>
              <w:rPr>
                <w:color w:val="222222"/>
                <w:sz w:val="17"/>
              </w:rPr>
              <w:t>positive 0.116</w:t>
            </w:r>
          </w:p>
        </w:tc>
      </w:tr>
      <w:tr>
        <w:tc>
          <w:tcPr>
            <w:tcW w:type="dxa" w:w="5760"/>
          </w:tcPr>
          <w:p>
            <w:pPr>
              <w:spacing w:after="40"/>
            </w:pPr>
            <w:r/>
            <w:r>
              <w:rPr>
                <w:color w:val="222222"/>
                <w:sz w:val="17"/>
              </w:rPr>
              <w:t>Members per 100 daily visits against score</w:t>
            </w:r>
          </w:p>
        </w:tc>
        <w:tc>
          <w:tcPr>
            <w:tcW w:type="dxa" w:w="2304"/>
          </w:tcPr>
          <w:p>
            <w:pPr>
              <w:spacing w:after="40"/>
            </w:pPr>
            <w:r/>
            <w:r>
              <w:rPr>
                <w:color w:val="222222"/>
                <w:sz w:val="17"/>
              </w:rPr>
              <w:t>negative 0.175</w:t>
            </w:r>
          </w:p>
        </w:tc>
      </w:tr>
      <w:tr>
        <w:tc>
          <w:tcPr>
            <w:tcW w:type="dxa" w:w="5760"/>
          </w:tcPr>
          <w:p>
            <w:pPr>
              <w:spacing w:after="40"/>
            </w:pPr>
            <w:r/>
            <w:r>
              <w:rPr>
                <w:color w:val="222222"/>
                <w:sz w:val="17"/>
              </w:rPr>
              <w:t>Daily attendance against score</w:t>
            </w:r>
          </w:p>
        </w:tc>
        <w:tc>
          <w:tcPr>
            <w:tcW w:type="dxa" w:w="2304"/>
          </w:tcPr>
          <w:p>
            <w:pPr>
              <w:spacing w:after="40"/>
            </w:pPr>
            <w:r/>
            <w:r>
              <w:rPr>
                <w:color w:val="222222"/>
                <w:sz w:val="17"/>
              </w:rPr>
              <w:t>positive 0.041</w:t>
            </w:r>
          </w:p>
        </w:tc>
      </w:tr>
    </w:tbl>
    <w:p>
      <w:pPr>
        <w:spacing w:after="40"/>
      </w:pPr>
    </w:p>
    <w:p>
      <w:r>
        <w:rPr>
          <w:color w:val="222222"/>
        </w:rPr>
        <w:t>All four are noise. Anything below roughly 0.3 carries no predictive weight. Two point the wrong direction, which is not evidence that staffing hurts sentiment. It is evidence that the relationship is not there.</w:t>
      </w:r>
    </w:p>
    <w:p>
      <w:pPr>
        <w:spacing w:before="260" w:after="80"/>
      </w:pPr>
      <w:r>
        <w:rPr>
          <w:b/>
          <w:color w:val="222222"/>
          <w:sz w:val="20"/>
        </w:rPr>
        <w:t>RESULT TWO: STAFFING DOES NOT PREDICT CLEANLINESS COMPLAINTS EITHER</w:t>
      </w:r>
    </w:p>
    <w:p>
      <w:r>
        <w:rPr>
          <w:color w:val="222222"/>
        </w:rPr>
        <w:t>Overall score could be washing out a cleanliness signal, so we isolated the reviews tagged specifically as cleanliness and measured complaint rate per thousand reviews.</w:t>
      </w:r>
    </w:p>
    <w:tbl>
      <w:tblPr>
        <w:tblStyle w:val="TableGrid"/>
        <w:tblW w:type="auto" w:w="0"/>
        <w:jc w:val="center"/>
        <w:tblLook w:firstColumn="1" w:firstRow="1" w:lastColumn="0" w:lastRow="0" w:noHBand="0" w:noVBand="1" w:val="04A0"/>
      </w:tblPr>
      <w:tblGrid>
        <w:gridCol w:w="4824"/>
        <w:gridCol w:w="4824"/>
      </w:tblGrid>
      <w:tr>
        <w:tc>
          <w:tcPr>
            <w:tcW w:type="dxa" w:w="5760"/>
            <w:shd w:val="clear" w:color="auto" w:fill="F2F2F2"/>
          </w:tcPr>
          <w:p>
            <w:pPr>
              <w:spacing w:after="40"/>
            </w:pPr>
            <w:r/>
            <w:r>
              <w:rPr>
                <w:b/>
                <w:color w:val="222222"/>
                <w:sz w:val="17"/>
              </w:rPr>
              <w:t>Relationship</w:t>
            </w:r>
          </w:p>
        </w:tc>
        <w:tc>
          <w:tcPr>
            <w:tcW w:type="dxa" w:w="2304"/>
            <w:shd w:val="clear" w:color="auto" w:fill="F2F2F2"/>
          </w:tcPr>
          <w:p>
            <w:pPr>
              <w:spacing w:after="40"/>
            </w:pPr>
            <w:r/>
            <w:r>
              <w:rPr>
                <w:b/>
                <w:color w:val="222222"/>
                <w:sz w:val="17"/>
              </w:rPr>
              <w:t>Correlation</w:t>
            </w:r>
          </w:p>
        </w:tc>
      </w:tr>
      <w:tr>
        <w:tc>
          <w:tcPr>
            <w:tcW w:type="dxa" w:w="5760"/>
          </w:tcPr>
          <w:p>
            <w:pPr>
              <w:spacing w:after="40"/>
            </w:pPr>
            <w:r/>
            <w:r>
              <w:rPr>
                <w:color w:val="222222"/>
                <w:sz w:val="17"/>
              </w:rPr>
              <w:t>Support team headcount against cleanliness complaint rate</w:t>
            </w:r>
          </w:p>
        </w:tc>
        <w:tc>
          <w:tcPr>
            <w:tcW w:type="dxa" w:w="2304"/>
          </w:tcPr>
          <w:p>
            <w:pPr>
              <w:spacing w:after="40"/>
            </w:pPr>
            <w:r/>
            <w:r>
              <w:rPr>
                <w:color w:val="222222"/>
                <w:sz w:val="17"/>
              </w:rPr>
              <w:t>positive 0.157</w:t>
            </w:r>
          </w:p>
        </w:tc>
      </w:tr>
      <w:tr>
        <w:tc>
          <w:tcPr>
            <w:tcW w:type="dxa" w:w="5760"/>
          </w:tcPr>
          <w:p>
            <w:pPr>
              <w:spacing w:after="40"/>
            </w:pPr>
            <w:r/>
            <w:r>
              <w:rPr>
                <w:color w:val="222222"/>
                <w:sz w:val="17"/>
              </w:rPr>
              <w:t>Gap to the 39 standard against complaint rate</w:t>
            </w:r>
          </w:p>
        </w:tc>
        <w:tc>
          <w:tcPr>
            <w:tcW w:type="dxa" w:w="2304"/>
          </w:tcPr>
          <w:p>
            <w:pPr>
              <w:spacing w:after="40"/>
            </w:pPr>
            <w:r/>
            <w:r>
              <w:rPr>
                <w:color w:val="222222"/>
                <w:sz w:val="17"/>
              </w:rPr>
              <w:t>negative 0.165</w:t>
            </w:r>
          </w:p>
        </w:tc>
      </w:tr>
      <w:tr>
        <w:tc>
          <w:tcPr>
            <w:tcW w:type="dxa" w:w="5760"/>
          </w:tcPr>
          <w:p>
            <w:pPr>
              <w:spacing w:after="40"/>
            </w:pPr>
            <w:r/>
            <w:r>
              <w:rPr>
                <w:color w:val="222222"/>
                <w:sz w:val="17"/>
              </w:rPr>
              <w:t>Members per 100 daily visits against complaint rate</w:t>
            </w:r>
          </w:p>
        </w:tc>
        <w:tc>
          <w:tcPr>
            <w:tcW w:type="dxa" w:w="2304"/>
          </w:tcPr>
          <w:p>
            <w:pPr>
              <w:spacing w:after="40"/>
            </w:pPr>
            <w:r/>
            <w:r>
              <w:rPr>
                <w:color w:val="222222"/>
                <w:sz w:val="17"/>
              </w:rPr>
              <w:t>negative 0.024</w:t>
            </w:r>
          </w:p>
        </w:tc>
      </w:tr>
      <w:tr>
        <w:tc>
          <w:tcPr>
            <w:tcW w:type="dxa" w:w="5760"/>
          </w:tcPr>
          <w:p>
            <w:pPr>
              <w:spacing w:after="40"/>
            </w:pPr>
            <w:r/>
            <w:r>
              <w:rPr>
                <w:color w:val="222222"/>
                <w:sz w:val="17"/>
              </w:rPr>
              <w:t>Daily attendance against complaint rate</w:t>
            </w:r>
          </w:p>
        </w:tc>
        <w:tc>
          <w:tcPr>
            <w:tcW w:type="dxa" w:w="2304"/>
          </w:tcPr>
          <w:p>
            <w:pPr>
              <w:spacing w:after="40"/>
            </w:pPr>
            <w:r/>
            <w:r>
              <w:rPr>
                <w:color w:val="222222"/>
                <w:sz w:val="17"/>
              </w:rPr>
              <w:t>positive 0.229</w:t>
            </w:r>
          </w:p>
        </w:tc>
      </w:tr>
    </w:tbl>
    <w:p>
      <w:pPr>
        <w:spacing w:after="40"/>
      </w:pPr>
    </w:p>
    <w:p>
      <w:pPr>
        <w:spacing w:before="120" w:after="200"/>
        <w:ind w:left="216"/>
        <w:pBdr>
          <w:left w:val="single" w:sz="18" w:color="FF8200" w:space="8"/>
        </w:pBdr>
      </w:pPr>
      <w:r>
        <w:rPr>
          <w:b/>
          <w:color w:val="222222"/>
        </w:rPr>
        <w:t xml:space="preserve">The finding. </w:t>
      </w:r>
      <w:r>
        <w:rPr>
          <w:color w:val="222222"/>
          <w:sz w:val="20"/>
        </w:rPr>
        <w:t>The strongest relationship in the entire analysis is attendance, not staffing. Busier studios generate more cleanliness complaints regardless of how many support team members they carry. Studios with cleanliness complaints run a median of 188 daily visits. Studios with none run 125.</w:t>
      </w:r>
    </w:p>
    <w:p>
      <w:pPr>
        <w:spacing w:before="260" w:after="80"/>
      </w:pPr>
      <w:r>
        <w:rPr>
          <w:b/>
          <w:color w:val="222222"/>
          <w:sz w:val="20"/>
        </w:rPr>
        <w:t>RESULT THREE: CLEANLINESS IS THE LARGEST AND THE MOST SEVERE FACILITY COMPLAINT</w:t>
      </w:r>
    </w:p>
    <w:p>
      <w:r>
        <w:rPr>
          <w:color w:val="222222"/>
        </w:rPr>
        <w:t>The 290 flagged reviews carry 372 category tags, because a member describing a hot room with a dirty locker room counts under both. Shares below are of tags.</w:t>
      </w:r>
    </w:p>
    <w:tbl>
      <w:tblPr>
        <w:tblStyle w:val="TableGrid"/>
        <w:tblW w:type="auto" w:w="0"/>
        <w:jc w:val="center"/>
        <w:tblLook w:firstColumn="1" w:firstRow="1" w:lastColumn="0" w:lastRow="0" w:noHBand="0" w:noVBand="1" w:val="04A0"/>
      </w:tblPr>
      <w:tblGrid>
        <w:gridCol w:w="1608"/>
        <w:gridCol w:w="1608"/>
        <w:gridCol w:w="1608"/>
        <w:gridCol w:w="1608"/>
        <w:gridCol w:w="1608"/>
        <w:gridCol w:w="1608"/>
      </w:tblGrid>
      <w:tr>
        <w:tc>
          <w:tcPr>
            <w:tcW w:type="dxa" w:w="2448"/>
            <w:shd w:val="clear" w:color="auto" w:fill="F2F2F2"/>
          </w:tcPr>
          <w:p>
            <w:pPr>
              <w:spacing w:after="40"/>
            </w:pPr>
            <w:r/>
            <w:r>
              <w:rPr>
                <w:b/>
                <w:color w:val="222222"/>
                <w:sz w:val="17"/>
              </w:rPr>
              <w:t>Category</w:t>
            </w:r>
          </w:p>
        </w:tc>
        <w:tc>
          <w:tcPr>
            <w:tcW w:type="dxa" w:w="864"/>
            <w:shd w:val="clear" w:color="auto" w:fill="F2F2F2"/>
          </w:tcPr>
          <w:p>
            <w:pPr>
              <w:spacing w:after="40"/>
            </w:pPr>
            <w:r/>
            <w:r>
              <w:rPr>
                <w:b/>
                <w:color w:val="222222"/>
                <w:sz w:val="17"/>
              </w:rPr>
              <w:t>Tags</w:t>
            </w:r>
          </w:p>
        </w:tc>
        <w:tc>
          <w:tcPr>
            <w:tcW w:type="dxa" w:w="1152"/>
            <w:shd w:val="clear" w:color="auto" w:fill="F2F2F2"/>
          </w:tcPr>
          <w:p>
            <w:pPr>
              <w:spacing w:after="40"/>
            </w:pPr>
            <w:r/>
            <w:r>
              <w:rPr>
                <w:b/>
                <w:color w:val="222222"/>
                <w:sz w:val="17"/>
              </w:rPr>
              <w:t>Share</w:t>
            </w:r>
          </w:p>
        </w:tc>
        <w:tc>
          <w:tcPr>
            <w:tcW w:type="dxa" w:w="1152"/>
            <w:shd w:val="clear" w:color="auto" w:fill="F2F2F2"/>
          </w:tcPr>
          <w:p>
            <w:pPr>
              <w:spacing w:after="40"/>
            </w:pPr>
            <w:r/>
            <w:r>
              <w:rPr>
                <w:b/>
                <w:color w:val="222222"/>
                <w:sz w:val="17"/>
              </w:rPr>
              <w:t>Studios</w:t>
            </w:r>
          </w:p>
        </w:tc>
        <w:tc>
          <w:tcPr>
            <w:tcW w:type="dxa" w:w="1584"/>
            <w:shd w:val="clear" w:color="auto" w:fill="F2F2F2"/>
          </w:tcPr>
          <w:p>
            <w:pPr>
              <w:spacing w:after="40"/>
            </w:pPr>
            <w:r/>
            <w:r>
              <w:rPr>
                <w:b/>
                <w:color w:val="222222"/>
                <w:sz w:val="17"/>
              </w:rPr>
              <w:t>Detractor share</w:t>
            </w:r>
          </w:p>
        </w:tc>
        <w:tc>
          <w:tcPr>
            <w:tcW w:type="dxa" w:w="1296"/>
            <w:shd w:val="clear" w:color="auto" w:fill="F2F2F2"/>
          </w:tcPr>
          <w:p>
            <w:pPr>
              <w:spacing w:after="40"/>
            </w:pPr>
            <w:r/>
            <w:r>
              <w:rPr>
                <w:b/>
                <w:color w:val="222222"/>
                <w:sz w:val="17"/>
              </w:rPr>
              <w:t>Avg score</w:t>
            </w:r>
          </w:p>
        </w:tc>
      </w:tr>
      <w:tr>
        <w:tc>
          <w:tcPr>
            <w:tcW w:type="dxa" w:w="2448"/>
          </w:tcPr>
          <w:p>
            <w:pPr>
              <w:spacing w:after="40"/>
            </w:pPr>
            <w:r/>
            <w:r>
              <w:rPr>
                <w:color w:val="222222"/>
                <w:sz w:val="17"/>
              </w:rPr>
              <w:t>Cleanliness</w:t>
            </w:r>
          </w:p>
        </w:tc>
        <w:tc>
          <w:tcPr>
            <w:tcW w:type="dxa" w:w="864"/>
          </w:tcPr>
          <w:p>
            <w:pPr>
              <w:spacing w:after="40"/>
            </w:pPr>
            <w:r/>
            <w:r>
              <w:rPr>
                <w:color w:val="222222"/>
                <w:sz w:val="17"/>
              </w:rPr>
              <w:t>134</w:t>
            </w:r>
          </w:p>
        </w:tc>
        <w:tc>
          <w:tcPr>
            <w:tcW w:type="dxa" w:w="1152"/>
          </w:tcPr>
          <w:p>
            <w:pPr>
              <w:spacing w:after="40"/>
            </w:pPr>
            <w:r/>
            <w:r>
              <w:rPr>
                <w:color w:val="222222"/>
                <w:sz w:val="17"/>
              </w:rPr>
              <w:t>36.0%</w:t>
            </w:r>
          </w:p>
        </w:tc>
        <w:tc>
          <w:tcPr>
            <w:tcW w:type="dxa" w:w="1152"/>
          </w:tcPr>
          <w:p>
            <w:pPr>
              <w:spacing w:after="40"/>
            </w:pPr>
            <w:r/>
            <w:r>
              <w:rPr>
                <w:color w:val="222222"/>
                <w:sz w:val="17"/>
              </w:rPr>
              <w:t>94</w:t>
            </w:r>
          </w:p>
        </w:tc>
        <w:tc>
          <w:tcPr>
            <w:tcW w:type="dxa" w:w="1584"/>
          </w:tcPr>
          <w:p>
            <w:pPr>
              <w:spacing w:after="40"/>
            </w:pPr>
            <w:r/>
            <w:r>
              <w:rPr>
                <w:color w:val="222222"/>
                <w:sz w:val="17"/>
              </w:rPr>
              <w:t>70.1%</w:t>
            </w:r>
          </w:p>
        </w:tc>
        <w:tc>
          <w:tcPr>
            <w:tcW w:type="dxa" w:w="1296"/>
          </w:tcPr>
          <w:p>
            <w:pPr>
              <w:spacing w:after="40"/>
            </w:pPr>
            <w:r/>
            <w:r>
              <w:rPr>
                <w:color w:val="222222"/>
                <w:sz w:val="17"/>
              </w:rPr>
              <w:t>4.5</w:t>
            </w:r>
          </w:p>
        </w:tc>
      </w:tr>
      <w:tr>
        <w:tc>
          <w:tcPr>
            <w:tcW w:type="dxa" w:w="2448"/>
          </w:tcPr>
          <w:p>
            <w:pPr>
              <w:spacing w:after="40"/>
            </w:pPr>
            <w:r/>
            <w:r>
              <w:rPr>
                <w:color w:val="222222"/>
                <w:sz w:val="17"/>
              </w:rPr>
              <w:t>HVAC and temperature</w:t>
            </w:r>
          </w:p>
        </w:tc>
        <w:tc>
          <w:tcPr>
            <w:tcW w:type="dxa" w:w="864"/>
          </w:tcPr>
          <w:p>
            <w:pPr>
              <w:spacing w:after="40"/>
            </w:pPr>
            <w:r/>
            <w:r>
              <w:rPr>
                <w:color w:val="222222"/>
                <w:sz w:val="17"/>
              </w:rPr>
              <w:t>98</w:t>
            </w:r>
          </w:p>
        </w:tc>
        <w:tc>
          <w:tcPr>
            <w:tcW w:type="dxa" w:w="1152"/>
          </w:tcPr>
          <w:p>
            <w:pPr>
              <w:spacing w:after="40"/>
            </w:pPr>
            <w:r/>
            <w:r>
              <w:rPr>
                <w:color w:val="222222"/>
                <w:sz w:val="17"/>
              </w:rPr>
              <w:t>26.3%</w:t>
            </w:r>
          </w:p>
        </w:tc>
        <w:tc>
          <w:tcPr>
            <w:tcW w:type="dxa" w:w="1152"/>
          </w:tcPr>
          <w:p>
            <w:pPr>
              <w:spacing w:after="40"/>
            </w:pPr>
            <w:r/>
            <w:r>
              <w:rPr>
                <w:color w:val="222222"/>
                <w:sz w:val="17"/>
              </w:rPr>
              <w:t>70</w:t>
            </w:r>
          </w:p>
        </w:tc>
        <w:tc>
          <w:tcPr>
            <w:tcW w:type="dxa" w:w="1584"/>
          </w:tcPr>
          <w:p>
            <w:pPr>
              <w:spacing w:after="40"/>
            </w:pPr>
            <w:r/>
            <w:r>
              <w:rPr>
                <w:color w:val="222222"/>
                <w:sz w:val="17"/>
              </w:rPr>
              <w:t>63.3%</w:t>
            </w:r>
          </w:p>
        </w:tc>
        <w:tc>
          <w:tcPr>
            <w:tcW w:type="dxa" w:w="1296"/>
          </w:tcPr>
          <w:p>
            <w:pPr>
              <w:spacing w:after="40"/>
            </w:pPr>
            <w:r/>
            <w:r>
              <w:rPr>
                <w:color w:val="222222"/>
                <w:sz w:val="17"/>
              </w:rPr>
              <w:t>5.1</w:t>
            </w:r>
          </w:p>
        </w:tc>
      </w:tr>
      <w:tr>
        <w:tc>
          <w:tcPr>
            <w:tcW w:type="dxa" w:w="2448"/>
          </w:tcPr>
          <w:p>
            <w:pPr>
              <w:spacing w:after="40"/>
            </w:pPr>
            <w:r/>
            <w:r>
              <w:rPr>
                <w:color w:val="222222"/>
                <w:sz w:val="17"/>
              </w:rPr>
              <w:t>Maintenance</w:t>
            </w:r>
          </w:p>
        </w:tc>
        <w:tc>
          <w:tcPr>
            <w:tcW w:type="dxa" w:w="864"/>
          </w:tcPr>
          <w:p>
            <w:pPr>
              <w:spacing w:after="40"/>
            </w:pPr>
            <w:r/>
            <w:r>
              <w:rPr>
                <w:color w:val="222222"/>
                <w:sz w:val="17"/>
              </w:rPr>
              <w:t>57</w:t>
            </w:r>
          </w:p>
        </w:tc>
        <w:tc>
          <w:tcPr>
            <w:tcW w:type="dxa" w:w="1152"/>
          </w:tcPr>
          <w:p>
            <w:pPr>
              <w:spacing w:after="40"/>
            </w:pPr>
            <w:r/>
            <w:r>
              <w:rPr>
                <w:color w:val="222222"/>
                <w:sz w:val="17"/>
              </w:rPr>
              <w:t>15.3%</w:t>
            </w:r>
          </w:p>
        </w:tc>
        <w:tc>
          <w:tcPr>
            <w:tcW w:type="dxa" w:w="1152"/>
          </w:tcPr>
          <w:p>
            <w:pPr>
              <w:spacing w:after="40"/>
            </w:pPr>
            <w:r/>
            <w:r>
              <w:rPr>
                <w:color w:val="222222"/>
                <w:sz w:val="17"/>
              </w:rPr>
              <w:t>52</w:t>
            </w:r>
          </w:p>
        </w:tc>
        <w:tc>
          <w:tcPr>
            <w:tcW w:type="dxa" w:w="1584"/>
          </w:tcPr>
          <w:p>
            <w:pPr>
              <w:spacing w:after="40"/>
            </w:pPr>
            <w:r/>
            <w:r>
              <w:rPr>
                <w:color w:val="222222"/>
                <w:sz w:val="17"/>
              </w:rPr>
              <w:t>66.7%</w:t>
            </w:r>
          </w:p>
        </w:tc>
        <w:tc>
          <w:tcPr>
            <w:tcW w:type="dxa" w:w="1296"/>
          </w:tcPr>
          <w:p>
            <w:pPr>
              <w:spacing w:after="40"/>
            </w:pPr>
            <w:r/>
            <w:r>
              <w:rPr>
                <w:color w:val="222222"/>
                <w:sz w:val="17"/>
              </w:rPr>
              <w:t>5.0</w:t>
            </w:r>
          </w:p>
        </w:tc>
      </w:tr>
      <w:tr>
        <w:tc>
          <w:tcPr>
            <w:tcW w:type="dxa" w:w="2448"/>
          </w:tcPr>
          <w:p>
            <w:pPr>
              <w:spacing w:after="40"/>
            </w:pPr>
            <w:r/>
            <w:r>
              <w:rPr>
                <w:color w:val="222222"/>
                <w:sz w:val="17"/>
              </w:rPr>
              <w:t>Capacity and crowding</w:t>
            </w:r>
          </w:p>
        </w:tc>
        <w:tc>
          <w:tcPr>
            <w:tcW w:type="dxa" w:w="864"/>
          </w:tcPr>
          <w:p>
            <w:pPr>
              <w:spacing w:after="40"/>
            </w:pPr>
            <w:r/>
            <w:r>
              <w:rPr>
                <w:color w:val="222222"/>
                <w:sz w:val="17"/>
              </w:rPr>
              <w:t>42</w:t>
            </w:r>
          </w:p>
        </w:tc>
        <w:tc>
          <w:tcPr>
            <w:tcW w:type="dxa" w:w="1152"/>
          </w:tcPr>
          <w:p>
            <w:pPr>
              <w:spacing w:after="40"/>
            </w:pPr>
            <w:r/>
            <w:r>
              <w:rPr>
                <w:color w:val="222222"/>
                <w:sz w:val="17"/>
              </w:rPr>
              <w:t>11.3%</w:t>
            </w:r>
          </w:p>
        </w:tc>
        <w:tc>
          <w:tcPr>
            <w:tcW w:type="dxa" w:w="1152"/>
          </w:tcPr>
          <w:p>
            <w:pPr>
              <w:spacing w:after="40"/>
            </w:pPr>
            <w:r/>
            <w:r>
              <w:rPr>
                <w:color w:val="222222"/>
                <w:sz w:val="17"/>
              </w:rPr>
              <w:t>33</w:t>
            </w:r>
          </w:p>
        </w:tc>
        <w:tc>
          <w:tcPr>
            <w:tcW w:type="dxa" w:w="1584"/>
          </w:tcPr>
          <w:p>
            <w:pPr>
              <w:spacing w:after="40"/>
            </w:pPr>
            <w:r/>
            <w:r>
              <w:rPr>
                <w:color w:val="222222"/>
                <w:sz w:val="17"/>
              </w:rPr>
              <w:t>54.8%</w:t>
            </w:r>
          </w:p>
        </w:tc>
        <w:tc>
          <w:tcPr>
            <w:tcW w:type="dxa" w:w="1296"/>
          </w:tcPr>
          <w:p>
            <w:pPr>
              <w:spacing w:after="40"/>
            </w:pPr>
            <w:r/>
            <w:r>
              <w:rPr>
                <w:color w:val="222222"/>
                <w:sz w:val="17"/>
              </w:rPr>
              <w:t>5.1</w:t>
            </w:r>
          </w:p>
        </w:tc>
      </w:tr>
      <w:tr>
        <w:tc>
          <w:tcPr>
            <w:tcW w:type="dxa" w:w="2448"/>
          </w:tcPr>
          <w:p>
            <w:pPr>
              <w:spacing w:after="40"/>
            </w:pPr>
            <w:r/>
            <w:r>
              <w:rPr>
                <w:color w:val="222222"/>
                <w:sz w:val="17"/>
              </w:rPr>
              <w:t>Plumbing</w:t>
            </w:r>
          </w:p>
        </w:tc>
        <w:tc>
          <w:tcPr>
            <w:tcW w:type="dxa" w:w="864"/>
          </w:tcPr>
          <w:p>
            <w:pPr>
              <w:spacing w:after="40"/>
            </w:pPr>
            <w:r/>
            <w:r>
              <w:rPr>
                <w:color w:val="222222"/>
                <w:sz w:val="17"/>
              </w:rPr>
              <w:t>41</w:t>
            </w:r>
          </w:p>
        </w:tc>
        <w:tc>
          <w:tcPr>
            <w:tcW w:type="dxa" w:w="1152"/>
          </w:tcPr>
          <w:p>
            <w:pPr>
              <w:spacing w:after="40"/>
            </w:pPr>
            <w:r/>
            <w:r>
              <w:rPr>
                <w:color w:val="222222"/>
                <w:sz w:val="17"/>
              </w:rPr>
              <w:t>11.0%</w:t>
            </w:r>
          </w:p>
        </w:tc>
        <w:tc>
          <w:tcPr>
            <w:tcW w:type="dxa" w:w="1152"/>
          </w:tcPr>
          <w:p>
            <w:pPr>
              <w:spacing w:after="40"/>
            </w:pPr>
            <w:r/>
            <w:r>
              <w:rPr>
                <w:color w:val="222222"/>
                <w:sz w:val="17"/>
              </w:rPr>
              <w:t>36</w:t>
            </w:r>
          </w:p>
        </w:tc>
        <w:tc>
          <w:tcPr>
            <w:tcW w:type="dxa" w:w="1584"/>
          </w:tcPr>
          <w:p>
            <w:pPr>
              <w:spacing w:after="40"/>
            </w:pPr>
            <w:r/>
            <w:r>
              <w:rPr>
                <w:color w:val="222222"/>
                <w:sz w:val="17"/>
              </w:rPr>
              <w:t>63.4%</w:t>
            </w:r>
          </w:p>
        </w:tc>
        <w:tc>
          <w:tcPr>
            <w:tcW w:type="dxa" w:w="1296"/>
          </w:tcPr>
          <w:p>
            <w:pPr>
              <w:spacing w:after="40"/>
            </w:pPr>
            <w:r/>
            <w:r>
              <w:rPr>
                <w:color w:val="222222"/>
                <w:sz w:val="17"/>
              </w:rPr>
              <w:t>5.3</w:t>
            </w:r>
          </w:p>
        </w:tc>
      </w:tr>
    </w:tbl>
    <w:p>
      <w:pPr>
        <w:spacing w:after="40"/>
      </w:pPr>
    </w:p>
    <w:p>
      <w:r>
        <w:rPr>
          <w:color w:val="222222"/>
        </w:rPr>
        <w:t>Cleanliness is the plurality at 36 percent of tags and appears at 94 studios, more than any other category. It also carries the highest detractor share at 70.1 percent and the lowest average score at 4.5. When a member raises cleanliness they are angrier than when they raise anything else.</w:t>
      </w:r>
    </w:p>
    <w:p>
      <w:r>
        <w:rPr>
          <w:color w:val="222222"/>
        </w:rPr>
        <w:t>The other four categories together account for 64 percent of tags. HVAC alone is 26.3 percent and touches 70 studios. That is a second front, and it is a capital and vendor problem rather than a labor problem. A separate memo covers it.</w:t>
      </w:r>
    </w:p>
    <w:p>
      <w:pPr>
        <w:spacing w:before="260" w:after="80"/>
      </w:pPr>
      <w:r>
        <w:rPr>
          <w:b/>
          <w:color w:val="222222"/>
          <w:sz w:val="20"/>
        </w:rPr>
        <w:t>WHAT THE COMPLAINT LIST ACTUALLY LOOKS LIKE</w:t>
      </w:r>
    </w:p>
    <w:tbl>
      <w:tblPr>
        <w:tblStyle w:val="TableGrid"/>
        <w:tblW w:type="auto" w:w="0"/>
        <w:jc w:val="center"/>
        <w:tblLook w:firstColumn="1" w:firstRow="1" w:lastColumn="0" w:lastRow="0" w:noHBand="0" w:noVBand="1" w:val="04A0"/>
      </w:tblPr>
      <w:tblGrid>
        <w:gridCol w:w="1608"/>
        <w:gridCol w:w="1608"/>
        <w:gridCol w:w="1608"/>
        <w:gridCol w:w="1608"/>
        <w:gridCol w:w="1608"/>
        <w:gridCol w:w="1608"/>
      </w:tblGrid>
      <w:tr>
        <w:tc>
          <w:tcPr>
            <w:tcW w:type="dxa" w:w="2160"/>
            <w:shd w:val="clear" w:color="auto" w:fill="F2F2F2"/>
          </w:tcPr>
          <w:p>
            <w:pPr>
              <w:spacing w:after="40"/>
            </w:pPr>
            <w:r/>
            <w:r>
              <w:rPr>
                <w:b/>
                <w:color w:val="222222"/>
                <w:sz w:val="17"/>
              </w:rPr>
              <w:t>Studio</w:t>
            </w:r>
          </w:p>
        </w:tc>
        <w:tc>
          <w:tcPr>
            <w:tcW w:type="dxa" w:w="1152"/>
            <w:shd w:val="clear" w:color="auto" w:fill="F2F2F2"/>
          </w:tcPr>
          <w:p>
            <w:pPr>
              <w:spacing w:after="40"/>
            </w:pPr>
            <w:r/>
            <w:r>
              <w:rPr>
                <w:b/>
                <w:color w:val="222222"/>
                <w:sz w:val="17"/>
              </w:rPr>
              <w:t>Tier</w:t>
            </w:r>
          </w:p>
        </w:tc>
        <w:tc>
          <w:tcPr>
            <w:tcW w:type="dxa" w:w="1296"/>
            <w:shd w:val="clear" w:color="auto" w:fill="F2F2F2"/>
          </w:tcPr>
          <w:p>
            <w:pPr>
              <w:spacing w:after="40"/>
            </w:pPr>
            <w:r/>
            <w:r>
              <w:rPr>
                <w:b/>
                <w:color w:val="222222"/>
                <w:sz w:val="17"/>
              </w:rPr>
              <w:t>Complaints</w:t>
            </w:r>
          </w:p>
        </w:tc>
        <w:tc>
          <w:tcPr>
            <w:tcW w:type="dxa" w:w="1440"/>
            <w:shd w:val="clear" w:color="auto" w:fill="F2F2F2"/>
          </w:tcPr>
          <w:p>
            <w:pPr>
              <w:spacing w:after="40"/>
            </w:pPr>
            <w:r/>
            <w:r>
              <w:rPr>
                <w:b/>
                <w:color w:val="222222"/>
                <w:sz w:val="17"/>
              </w:rPr>
              <w:t>Support team</w:t>
            </w:r>
          </w:p>
        </w:tc>
        <w:tc>
          <w:tcPr>
            <w:tcW w:type="dxa" w:w="1440"/>
            <w:shd w:val="clear" w:color="auto" w:fill="F2F2F2"/>
          </w:tcPr>
          <w:p>
            <w:pPr>
              <w:spacing w:after="40"/>
            </w:pPr>
            <w:r/>
            <w:r>
              <w:rPr>
                <w:b/>
                <w:color w:val="222222"/>
                <w:sz w:val="17"/>
              </w:rPr>
              <w:t>Daily visits</w:t>
            </w:r>
          </w:p>
        </w:tc>
        <w:tc>
          <w:tcPr>
            <w:tcW w:type="dxa" w:w="1008"/>
            <w:shd w:val="clear" w:color="auto" w:fill="F2F2F2"/>
          </w:tcPr>
          <w:p>
            <w:pPr>
              <w:spacing w:after="40"/>
            </w:pPr>
            <w:r/>
            <w:r>
              <w:rPr>
                <w:b/>
                <w:color w:val="222222"/>
                <w:sz w:val="17"/>
              </w:rPr>
              <w:t>Score</w:t>
            </w:r>
          </w:p>
        </w:tc>
      </w:tr>
      <w:tr>
        <w:tc>
          <w:tcPr>
            <w:tcW w:type="dxa" w:w="2160"/>
          </w:tcPr>
          <w:p>
            <w:pPr>
              <w:spacing w:after="40"/>
            </w:pPr>
            <w:r/>
            <w:r>
              <w:rPr>
                <w:color w:val="222222"/>
                <w:sz w:val="17"/>
              </w:rPr>
              <w:t>Lakeview</w:t>
            </w:r>
          </w:p>
        </w:tc>
        <w:tc>
          <w:tcPr>
            <w:tcW w:type="dxa" w:w="1152"/>
          </w:tcPr>
          <w:p>
            <w:pPr>
              <w:spacing w:after="40"/>
            </w:pPr>
            <w:r/>
            <w:r>
              <w:rPr>
                <w:color w:val="222222"/>
                <w:sz w:val="17"/>
              </w:rPr>
              <w:t>Tier 1</w:t>
            </w:r>
          </w:p>
        </w:tc>
        <w:tc>
          <w:tcPr>
            <w:tcW w:type="dxa" w:w="1296"/>
          </w:tcPr>
          <w:p>
            <w:pPr>
              <w:spacing w:after="40"/>
            </w:pPr>
            <w:r/>
            <w:r>
              <w:rPr>
                <w:color w:val="222222"/>
                <w:sz w:val="17"/>
              </w:rPr>
              <w:t>4</w:t>
            </w:r>
          </w:p>
        </w:tc>
        <w:tc>
          <w:tcPr>
            <w:tcW w:type="dxa" w:w="1440"/>
          </w:tcPr>
          <w:p>
            <w:pPr>
              <w:spacing w:after="40"/>
            </w:pPr>
            <w:r/>
            <w:r>
              <w:rPr>
                <w:color w:val="222222"/>
                <w:sz w:val="17"/>
              </w:rPr>
              <w:t>14</w:t>
            </w:r>
          </w:p>
        </w:tc>
        <w:tc>
          <w:tcPr>
            <w:tcW w:type="dxa" w:w="1440"/>
          </w:tcPr>
          <w:p>
            <w:pPr>
              <w:spacing w:after="40"/>
            </w:pPr>
            <w:r/>
            <w:r>
              <w:rPr>
                <w:color w:val="222222"/>
                <w:sz w:val="17"/>
              </w:rPr>
              <w:t>276</w:t>
            </w:r>
          </w:p>
        </w:tc>
        <w:tc>
          <w:tcPr>
            <w:tcW w:type="dxa" w:w="1008"/>
          </w:tcPr>
          <w:p>
            <w:pPr>
              <w:spacing w:after="40"/>
            </w:pPr>
            <w:r/>
            <w:r>
              <w:rPr>
                <w:color w:val="222222"/>
                <w:sz w:val="17"/>
              </w:rPr>
              <w:t>66</w:t>
            </w:r>
          </w:p>
        </w:tc>
      </w:tr>
      <w:tr>
        <w:tc>
          <w:tcPr>
            <w:tcW w:type="dxa" w:w="2160"/>
          </w:tcPr>
          <w:p>
            <w:pPr>
              <w:spacing w:after="40"/>
            </w:pPr>
            <w:r/>
            <w:r>
              <w:rPr>
                <w:color w:val="222222"/>
                <w:sz w:val="17"/>
              </w:rPr>
              <w:t>Westlake Village</w:t>
            </w:r>
          </w:p>
        </w:tc>
        <w:tc>
          <w:tcPr>
            <w:tcW w:type="dxa" w:w="1152"/>
          </w:tcPr>
          <w:p>
            <w:pPr>
              <w:spacing w:after="40"/>
            </w:pPr>
            <w:r/>
            <w:r>
              <w:rPr>
                <w:color w:val="222222"/>
                <w:sz w:val="17"/>
              </w:rPr>
              <w:t>Tier 1</w:t>
            </w:r>
          </w:p>
        </w:tc>
        <w:tc>
          <w:tcPr>
            <w:tcW w:type="dxa" w:w="1296"/>
          </w:tcPr>
          <w:p>
            <w:pPr>
              <w:spacing w:after="40"/>
            </w:pPr>
            <w:r/>
            <w:r>
              <w:rPr>
                <w:color w:val="222222"/>
                <w:sz w:val="17"/>
              </w:rPr>
              <w:t>4</w:t>
            </w:r>
          </w:p>
        </w:tc>
        <w:tc>
          <w:tcPr>
            <w:tcW w:type="dxa" w:w="1440"/>
          </w:tcPr>
          <w:p>
            <w:pPr>
              <w:spacing w:after="40"/>
            </w:pPr>
            <w:r/>
            <w:r>
              <w:rPr>
                <w:color w:val="222222"/>
                <w:sz w:val="17"/>
              </w:rPr>
              <w:t>6</w:t>
            </w:r>
          </w:p>
        </w:tc>
        <w:tc>
          <w:tcPr>
            <w:tcW w:type="dxa" w:w="1440"/>
          </w:tcPr>
          <w:p>
            <w:pPr>
              <w:spacing w:after="40"/>
            </w:pPr>
            <w:r/>
            <w:r>
              <w:rPr>
                <w:color w:val="222222"/>
                <w:sz w:val="17"/>
              </w:rPr>
              <w:t>319</w:t>
            </w:r>
          </w:p>
        </w:tc>
        <w:tc>
          <w:tcPr>
            <w:tcW w:type="dxa" w:w="1008"/>
          </w:tcPr>
          <w:p>
            <w:pPr>
              <w:spacing w:after="40"/>
            </w:pPr>
            <w:r/>
            <w:r>
              <w:rPr>
                <w:color w:val="222222"/>
                <w:sz w:val="17"/>
              </w:rPr>
              <w:t>81</w:t>
            </w:r>
          </w:p>
        </w:tc>
      </w:tr>
      <w:tr>
        <w:tc>
          <w:tcPr>
            <w:tcW w:type="dxa" w:w="2160"/>
          </w:tcPr>
          <w:p>
            <w:pPr>
              <w:spacing w:after="40"/>
            </w:pPr>
            <w:r/>
            <w:r>
              <w:rPr>
                <w:color w:val="222222"/>
                <w:sz w:val="17"/>
              </w:rPr>
              <w:t>Monarch</w:t>
            </w:r>
          </w:p>
        </w:tc>
        <w:tc>
          <w:tcPr>
            <w:tcW w:type="dxa" w:w="1152"/>
          </w:tcPr>
          <w:p>
            <w:pPr>
              <w:spacing w:after="40"/>
            </w:pPr>
            <w:r/>
            <w:r>
              <w:rPr>
                <w:color w:val="222222"/>
                <w:sz w:val="17"/>
              </w:rPr>
              <w:t>Tier 2</w:t>
            </w:r>
          </w:p>
        </w:tc>
        <w:tc>
          <w:tcPr>
            <w:tcW w:type="dxa" w:w="1296"/>
          </w:tcPr>
          <w:p>
            <w:pPr>
              <w:spacing w:after="40"/>
            </w:pPr>
            <w:r/>
            <w:r>
              <w:rPr>
                <w:color w:val="222222"/>
                <w:sz w:val="17"/>
              </w:rPr>
              <w:t>4</w:t>
            </w:r>
          </w:p>
        </w:tc>
        <w:tc>
          <w:tcPr>
            <w:tcW w:type="dxa" w:w="1440"/>
          </w:tcPr>
          <w:p>
            <w:pPr>
              <w:spacing w:after="40"/>
            </w:pPr>
            <w:r/>
            <w:r>
              <w:rPr>
                <w:color w:val="222222"/>
                <w:sz w:val="17"/>
              </w:rPr>
              <w:t>7</w:t>
            </w:r>
          </w:p>
        </w:tc>
        <w:tc>
          <w:tcPr>
            <w:tcW w:type="dxa" w:w="1440"/>
          </w:tcPr>
          <w:p>
            <w:pPr>
              <w:spacing w:after="40"/>
            </w:pPr>
            <w:r/>
            <w:r>
              <w:rPr>
                <w:color w:val="222222"/>
                <w:sz w:val="17"/>
              </w:rPr>
              <w:t>221</w:t>
            </w:r>
          </w:p>
        </w:tc>
        <w:tc>
          <w:tcPr>
            <w:tcW w:type="dxa" w:w="1008"/>
          </w:tcPr>
          <w:p>
            <w:pPr>
              <w:spacing w:after="40"/>
            </w:pPr>
            <w:r/>
            <w:r>
              <w:rPr>
                <w:color w:val="222222"/>
                <w:sz w:val="17"/>
              </w:rPr>
              <w:t>60</w:t>
            </w:r>
          </w:p>
        </w:tc>
      </w:tr>
      <w:tr>
        <w:tc>
          <w:tcPr>
            <w:tcW w:type="dxa" w:w="2160"/>
          </w:tcPr>
          <w:p>
            <w:pPr>
              <w:spacing w:after="40"/>
            </w:pPr>
            <w:r/>
            <w:r>
              <w:rPr>
                <w:color w:val="222222"/>
                <w:sz w:val="17"/>
              </w:rPr>
              <w:t>Adams Morgan</w:t>
            </w:r>
          </w:p>
        </w:tc>
        <w:tc>
          <w:tcPr>
            <w:tcW w:type="dxa" w:w="1152"/>
          </w:tcPr>
          <w:p>
            <w:pPr>
              <w:spacing w:after="40"/>
            </w:pPr>
            <w:r/>
            <w:r>
              <w:rPr>
                <w:color w:val="222222"/>
                <w:sz w:val="17"/>
              </w:rPr>
              <w:t>Tier 3</w:t>
            </w:r>
          </w:p>
        </w:tc>
        <w:tc>
          <w:tcPr>
            <w:tcW w:type="dxa" w:w="1296"/>
          </w:tcPr>
          <w:p>
            <w:pPr>
              <w:spacing w:after="40"/>
            </w:pPr>
            <w:r/>
            <w:r>
              <w:rPr>
                <w:color w:val="222222"/>
                <w:sz w:val="17"/>
              </w:rPr>
              <w:t>4</w:t>
            </w:r>
          </w:p>
        </w:tc>
        <w:tc>
          <w:tcPr>
            <w:tcW w:type="dxa" w:w="1440"/>
          </w:tcPr>
          <w:p>
            <w:pPr>
              <w:spacing w:after="40"/>
            </w:pPr>
            <w:r/>
            <w:r>
              <w:rPr>
                <w:color w:val="222222"/>
                <w:sz w:val="17"/>
              </w:rPr>
              <w:t>17</w:t>
            </w:r>
          </w:p>
        </w:tc>
        <w:tc>
          <w:tcPr>
            <w:tcW w:type="dxa" w:w="1440"/>
          </w:tcPr>
          <w:p>
            <w:pPr>
              <w:spacing w:after="40"/>
            </w:pPr>
            <w:r/>
            <w:r>
              <w:rPr>
                <w:color w:val="222222"/>
                <w:sz w:val="17"/>
              </w:rPr>
              <w:t>171</w:t>
            </w:r>
          </w:p>
        </w:tc>
        <w:tc>
          <w:tcPr>
            <w:tcW w:type="dxa" w:w="1008"/>
          </w:tcPr>
          <w:p>
            <w:pPr>
              <w:spacing w:after="40"/>
            </w:pPr>
            <w:r/>
            <w:r>
              <w:rPr>
                <w:color w:val="222222"/>
                <w:sz w:val="17"/>
              </w:rPr>
              <w:t>52</w:t>
            </w:r>
          </w:p>
        </w:tc>
      </w:tr>
      <w:tr>
        <w:tc>
          <w:tcPr>
            <w:tcW w:type="dxa" w:w="2160"/>
          </w:tcPr>
          <w:p>
            <w:pPr>
              <w:spacing w:after="40"/>
            </w:pPr>
            <w:r/>
            <w:r>
              <w:rPr>
                <w:color w:val="222222"/>
                <w:sz w:val="17"/>
              </w:rPr>
              <w:t>Roscoe Village</w:t>
            </w:r>
          </w:p>
        </w:tc>
        <w:tc>
          <w:tcPr>
            <w:tcW w:type="dxa" w:w="1152"/>
          </w:tcPr>
          <w:p>
            <w:pPr>
              <w:spacing w:after="40"/>
            </w:pPr>
            <w:r/>
            <w:r>
              <w:rPr>
                <w:color w:val="222222"/>
                <w:sz w:val="17"/>
              </w:rPr>
              <w:t>Tier 1</w:t>
            </w:r>
          </w:p>
        </w:tc>
        <w:tc>
          <w:tcPr>
            <w:tcW w:type="dxa" w:w="1296"/>
          </w:tcPr>
          <w:p>
            <w:pPr>
              <w:spacing w:after="40"/>
            </w:pPr>
            <w:r/>
            <w:r>
              <w:rPr>
                <w:color w:val="222222"/>
                <w:sz w:val="17"/>
              </w:rPr>
              <w:t>3</w:t>
            </w:r>
          </w:p>
        </w:tc>
        <w:tc>
          <w:tcPr>
            <w:tcW w:type="dxa" w:w="1440"/>
          </w:tcPr>
          <w:p>
            <w:pPr>
              <w:spacing w:after="40"/>
            </w:pPr>
            <w:r/>
            <w:r>
              <w:rPr>
                <w:color w:val="222222"/>
                <w:sz w:val="17"/>
              </w:rPr>
              <w:t>20</w:t>
            </w:r>
          </w:p>
        </w:tc>
        <w:tc>
          <w:tcPr>
            <w:tcW w:type="dxa" w:w="1440"/>
          </w:tcPr>
          <w:p>
            <w:pPr>
              <w:spacing w:after="40"/>
            </w:pPr>
            <w:r/>
            <w:r>
              <w:rPr>
                <w:color w:val="222222"/>
                <w:sz w:val="17"/>
              </w:rPr>
              <w:t>335</w:t>
            </w:r>
          </w:p>
        </w:tc>
        <w:tc>
          <w:tcPr>
            <w:tcW w:type="dxa" w:w="1008"/>
          </w:tcPr>
          <w:p>
            <w:pPr>
              <w:spacing w:after="40"/>
            </w:pPr>
            <w:r/>
            <w:r>
              <w:rPr>
                <w:color w:val="222222"/>
                <w:sz w:val="17"/>
              </w:rPr>
              <w:t>81</w:t>
            </w:r>
          </w:p>
        </w:tc>
      </w:tr>
      <w:tr>
        <w:tc>
          <w:tcPr>
            <w:tcW w:type="dxa" w:w="2160"/>
          </w:tcPr>
          <w:p>
            <w:pPr>
              <w:spacing w:after="40"/>
            </w:pPr>
            <w:r/>
            <w:r>
              <w:rPr>
                <w:color w:val="222222"/>
                <w:sz w:val="17"/>
              </w:rPr>
              <w:t>USC Village</w:t>
            </w:r>
          </w:p>
        </w:tc>
        <w:tc>
          <w:tcPr>
            <w:tcW w:type="dxa" w:w="1152"/>
          </w:tcPr>
          <w:p>
            <w:pPr>
              <w:spacing w:after="40"/>
            </w:pPr>
            <w:r/>
            <w:r>
              <w:rPr>
                <w:color w:val="222222"/>
                <w:sz w:val="17"/>
              </w:rPr>
              <w:t>Tier 4</w:t>
            </w:r>
          </w:p>
        </w:tc>
        <w:tc>
          <w:tcPr>
            <w:tcW w:type="dxa" w:w="1296"/>
          </w:tcPr>
          <w:p>
            <w:pPr>
              <w:spacing w:after="40"/>
            </w:pPr>
            <w:r/>
            <w:r>
              <w:rPr>
                <w:color w:val="222222"/>
                <w:sz w:val="17"/>
              </w:rPr>
              <w:t>3</w:t>
            </w:r>
          </w:p>
        </w:tc>
        <w:tc>
          <w:tcPr>
            <w:tcW w:type="dxa" w:w="1440"/>
          </w:tcPr>
          <w:p>
            <w:pPr>
              <w:spacing w:after="40"/>
            </w:pPr>
            <w:r/>
            <w:r>
              <w:rPr>
                <w:color w:val="222222"/>
                <w:sz w:val="17"/>
              </w:rPr>
              <w:t>38</w:t>
            </w:r>
          </w:p>
        </w:tc>
        <w:tc>
          <w:tcPr>
            <w:tcW w:type="dxa" w:w="1440"/>
          </w:tcPr>
          <w:p>
            <w:pPr>
              <w:spacing w:after="40"/>
            </w:pPr>
            <w:r/>
            <w:r>
              <w:rPr>
                <w:color w:val="222222"/>
                <w:sz w:val="17"/>
              </w:rPr>
              <w:t>119</w:t>
            </w:r>
          </w:p>
        </w:tc>
        <w:tc>
          <w:tcPr>
            <w:tcW w:type="dxa" w:w="1008"/>
          </w:tcPr>
          <w:p>
            <w:pPr>
              <w:spacing w:after="40"/>
            </w:pPr>
            <w:r/>
            <w:r>
              <w:rPr>
                <w:color w:val="222222"/>
                <w:sz w:val="17"/>
              </w:rPr>
              <w:t>62</w:t>
            </w:r>
          </w:p>
        </w:tc>
      </w:tr>
      <w:tr>
        <w:tc>
          <w:tcPr>
            <w:tcW w:type="dxa" w:w="2160"/>
          </w:tcPr>
          <w:p>
            <w:pPr>
              <w:spacing w:after="40"/>
            </w:pPr>
            <w:r/>
            <w:r>
              <w:rPr>
                <w:color w:val="222222"/>
                <w:sz w:val="17"/>
              </w:rPr>
              <w:t>Encinitas</w:t>
            </w:r>
          </w:p>
        </w:tc>
        <w:tc>
          <w:tcPr>
            <w:tcW w:type="dxa" w:w="1152"/>
          </w:tcPr>
          <w:p>
            <w:pPr>
              <w:spacing w:after="40"/>
            </w:pPr>
            <w:r/>
            <w:r>
              <w:rPr>
                <w:color w:val="222222"/>
                <w:sz w:val="17"/>
              </w:rPr>
              <w:t>Tier 2</w:t>
            </w:r>
          </w:p>
        </w:tc>
        <w:tc>
          <w:tcPr>
            <w:tcW w:type="dxa" w:w="1296"/>
          </w:tcPr>
          <w:p>
            <w:pPr>
              <w:spacing w:after="40"/>
            </w:pPr>
            <w:r/>
            <w:r>
              <w:rPr>
                <w:color w:val="222222"/>
                <w:sz w:val="17"/>
              </w:rPr>
              <w:t>3</w:t>
            </w:r>
          </w:p>
        </w:tc>
        <w:tc>
          <w:tcPr>
            <w:tcW w:type="dxa" w:w="1440"/>
          </w:tcPr>
          <w:p>
            <w:pPr>
              <w:spacing w:after="40"/>
            </w:pPr>
            <w:r/>
            <w:r>
              <w:rPr>
                <w:color w:val="222222"/>
                <w:sz w:val="17"/>
              </w:rPr>
              <w:t>25</w:t>
            </w:r>
          </w:p>
        </w:tc>
        <w:tc>
          <w:tcPr>
            <w:tcW w:type="dxa" w:w="1440"/>
          </w:tcPr>
          <w:p>
            <w:pPr>
              <w:spacing w:after="40"/>
            </w:pPr>
            <w:r/>
            <w:r>
              <w:rPr>
                <w:color w:val="222222"/>
                <w:sz w:val="17"/>
              </w:rPr>
              <w:t>249</w:t>
            </w:r>
          </w:p>
        </w:tc>
        <w:tc>
          <w:tcPr>
            <w:tcW w:type="dxa" w:w="1008"/>
          </w:tcPr>
          <w:p>
            <w:pPr>
              <w:spacing w:after="40"/>
            </w:pPr>
            <w:r/>
            <w:r>
              <w:rPr>
                <w:color w:val="222222"/>
                <w:sz w:val="17"/>
              </w:rPr>
              <w:t>96</w:t>
            </w:r>
          </w:p>
        </w:tc>
      </w:tr>
    </w:tbl>
    <w:p>
      <w:pPr>
        <w:spacing w:after="40"/>
      </w:pPr>
    </w:p>
    <w:p>
      <w:r>
        <w:rPr>
          <w:color w:val="222222"/>
        </w:rPr>
        <w:t>USC Village carries 38 support team members, nearly at the standard, and still draws three cleanliness complaints. Encinitas carries 25 and scores 96. Westlake Village carries 6 and scores 81. There is no pattern here that headcount explains.</w:t>
      </w:r>
    </w:p>
    <w:p>
      <w:pPr>
        <w:spacing w:before="260" w:after="80"/>
      </w:pPr>
      <w:r>
        <w:rPr>
          <w:b/>
          <w:color w:val="222222"/>
          <w:sz w:val="20"/>
        </w:rPr>
        <w:t>WHAT THIS MEANS FOR THE INVESTMENT CASE</w:t>
      </w:r>
    </w:p>
    <w:p>
      <w:pPr>
        <w:spacing w:before="120" w:after="200"/>
        <w:ind w:left="216"/>
        <w:pBdr>
          <w:left w:val="single" w:sz="18" w:color="FF8200" w:space="8"/>
        </w:pBdr>
      </w:pPr>
      <w:r>
        <w:rPr>
          <w:b/>
          <w:color w:val="222222"/>
        </w:rPr>
        <w:t xml:space="preserve">The recommendation. </w:t>
      </w:r>
      <w:r>
        <w:rPr>
          <w:color w:val="222222"/>
          <w:sz w:val="20"/>
        </w:rPr>
        <w:t>The support team investment should be argued as a brand standard and an operational floor. It should not be argued as a member sentiment lever. The data does not support that claim and it will not survive scrutiny in the room.</w:t>
      </w:r>
    </w:p>
    <w:p>
      <w:pPr>
        <w:pStyle w:val="ListBullet"/>
        <w:spacing w:after="60"/>
      </w:pPr>
      <w:r>
        <w:rPr>
          <w:b/>
          <w:color w:val="222222"/>
        </w:rPr>
        <w:t xml:space="preserve">Argue the standard. </w:t>
      </w:r>
      <w:r>
        <w:rPr>
          <w:color w:val="222222"/>
        </w:rPr>
        <w:t>Every studio should be able to deliver a clean facility. That is a floor, not a performance target. A floor does not need a correlation to justify it.</w:t>
      </w:r>
    </w:p>
    <w:p>
      <w:pPr>
        <w:pStyle w:val="ListBullet"/>
        <w:spacing w:after="60"/>
      </w:pPr>
      <w:r>
        <w:rPr>
          <w:b/>
          <w:color w:val="222222"/>
        </w:rPr>
        <w:t xml:space="preserve">Argue the clusters. </w:t>
      </w:r>
      <w:r>
        <w:rPr>
          <w:color w:val="222222"/>
        </w:rPr>
        <w:t>96 studios recorded zero cleanliness complaints in 51 days. Complaints cluster. Blanket headcount across 221 studios is not aimed at where the problem shows up.</w:t>
      </w:r>
    </w:p>
    <w:p>
      <w:pPr>
        <w:pStyle w:val="ListBullet"/>
        <w:spacing w:after="60"/>
      </w:pPr>
      <w:r>
        <w:rPr>
          <w:b/>
          <w:color w:val="222222"/>
        </w:rPr>
        <w:t xml:space="preserve">Argue the traffic. </w:t>
      </w:r>
      <w:r>
        <w:rPr>
          <w:color w:val="222222"/>
        </w:rPr>
        <w:t>Attendance is the only variable that moves with complaints. That supports tiering as the frame for prioritization, even though the cleaning standard itself stays flat.</w:t>
      </w:r>
    </w:p>
    <w:p>
      <w:pPr>
        <w:pStyle w:val="ListBullet"/>
        <w:spacing w:after="60"/>
      </w:pPr>
      <w:r>
        <w:rPr>
          <w:b/>
          <w:color w:val="222222"/>
        </w:rPr>
        <w:t xml:space="preserve">Argue the severity. </w:t>
      </w:r>
      <w:r>
        <w:rPr>
          <w:color w:val="222222"/>
        </w:rPr>
        <w:t>Cleanliness carries the highest detractor share and the lowest average score of any facility category. When it goes wrong it costs more than the others do.</w:t>
      </w:r>
    </w:p>
    <w:p>
      <w:pPr>
        <w:spacing w:before="260" w:after="80"/>
      </w:pPr>
      <w:r>
        <w:rPr>
          <w:b/>
          <w:color w:val="222222"/>
          <w:sz w:val="20"/>
        </w:rPr>
        <w:t>WHAT THIS DOES NOT TELL US</w:t>
      </w:r>
    </w:p>
    <w:p>
      <w:pPr>
        <w:pStyle w:val="ListBullet"/>
        <w:spacing w:after="60"/>
      </w:pPr>
      <w:r>
        <w:rPr>
          <w:b/>
          <w:color w:val="222222"/>
        </w:rPr>
        <w:t xml:space="preserve">Timing. </w:t>
      </w:r>
      <w:r>
        <w:rPr>
          <w:color w:val="222222"/>
        </w:rPr>
        <w:t>Fifty one days is a short window. A studio that fixed its staffing in August would not show a sentiment change yet.</w:t>
      </w:r>
    </w:p>
    <w:p>
      <w:pPr>
        <w:pStyle w:val="ListBullet"/>
        <w:spacing w:after="60"/>
      </w:pPr>
      <w:r>
        <w:rPr>
          <w:b/>
          <w:color w:val="222222"/>
        </w:rPr>
        <w:t xml:space="preserve">Hours versus headcount. </w:t>
      </w:r>
      <w:r>
        <w:rPr>
          <w:color w:val="222222"/>
        </w:rPr>
        <w:t>We measured headcount, not hours worked. A studio with 20 members working 4 hours each differs from 20 working 15. Scheduling data would test this properly.</w:t>
      </w:r>
    </w:p>
    <w:p>
      <w:pPr>
        <w:pStyle w:val="ListBullet"/>
        <w:spacing w:after="60"/>
      </w:pPr>
      <w:r>
        <w:rPr>
          <w:b/>
          <w:color w:val="222222"/>
        </w:rPr>
        <w:t xml:space="preserve">Complaint volume is low. </w:t>
      </w:r>
      <w:r>
        <w:rPr>
          <w:color w:val="222222"/>
        </w:rPr>
        <w:t>Only 290 of 7,783 reviews mention facilities. Members who notice a clean studio rarely say so. Absence of complaints is not presence of satisfaction.</w:t>
      </w:r>
    </w:p>
    <w:p>
      <w:pPr>
        <w:pStyle w:val="ListBullet"/>
        <w:spacing w:after="60"/>
      </w:pPr>
      <w:r>
        <w:rPr>
          <w:b/>
          <w:color w:val="222222"/>
        </w:rPr>
        <w:t xml:space="preserve">Small samples. </w:t>
      </w:r>
      <w:r>
        <w:rPr>
          <w:color w:val="222222"/>
        </w:rPr>
        <w:t>Review counts vary widely by studio. Twelve reviews with one complaint reads as an 83 per thousand rate, which overstates the signal.</w:t>
      </w:r>
    </w:p>
    <w:p>
      <w:pPr>
        <w:spacing w:before="260" w:after="80"/>
      </w:pPr>
      <w:r>
        <w:rPr>
          <w:b/>
          <w:color w:val="222222"/>
          <w:sz w:val="20"/>
        </w:rPr>
        <w:t>CORRECTION NOTE</w:t>
      </w:r>
    </w:p>
    <w:p>
      <w:r>
        <w:rPr>
          <w:color w:val="222222"/>
        </w:rPr>
        <w:t>An earlier version of this memo reported cleanliness at 28 percent and HVAC plus maintenance at 54 percent. Those figures used the count of flagged reviews as the denominator while counting category tags in the numerator. Because 75 of the 290 flagged reviews carry more than one tag, the two do not reconcile. All shares here use tags as the denominator, 372 in total.</w:t>
      </w:r>
    </w:p>
    <w:p>
      <w:pPr>
        <w:spacing w:before="320"/>
        <w:pBdr>
          <w:top w:val="single" w:sz="6" w:color="D2D2D2"/>
        </w:pBdr>
      </w:pPr>
      <w:r>
        <w:rPr>
          <w:color w:val="999999"/>
          <w:sz w:val="15"/>
        </w:rPr>
        <w:t>CorePower Yoga  |  Prepared by Michelle Salvatore, SVP Head of Operations  |  September 2026  |  Source: studio payroll and attendance data, 221 active studios</w:t>
      </w:r>
    </w:p>
    <w:sectPr w:rsidR="00FC693F" w:rsidRPr="0006063C" w:rsidSect="00034616">
      <w:pgSz w:w="12240" w:h="15840"/>
      <w:pgMar w:top="1152" w:right="1296" w:bottom="115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line="276" w:lineRule="auto"/>
    </w:pPr>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