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222222"/>
          <w:sz w:val="38"/>
        </w:rPr>
        <w:t>What Members Actually Complain About</w:t>
      </w:r>
    </w:p>
    <w:p>
      <w:pPr>
        <w:spacing w:after="200"/>
      </w:pPr>
      <w:r>
        <w:rPr>
          <w:color w:val="555555"/>
          <w:sz w:val="20"/>
        </w:rPr>
        <w:t>The facility complaint picture beyond cleanliness</w:t>
      </w:r>
    </w:p>
    <w:p>
      <w:pPr>
        <w:spacing w:after="240"/>
        <w:pBdr>
          <w:bottom w:val="single" w:sz="18" w:color="FF8200"/>
        </w:pBdr>
      </w:pPr>
    </w:p>
    <w:p>
      <w:pPr>
        <w:spacing w:before="260" w:after="80"/>
      </w:pPr>
      <w:r>
        <w:rPr>
          <w:b/>
          <w:color w:val="222222"/>
          <w:sz w:val="20"/>
        </w:rPr>
        <w:t>WHY THIS MATTERS NOW</w:t>
      </w:r>
    </w:p>
    <w:p>
      <w:r>
        <w:rPr>
          <w:color w:val="222222"/>
        </w:rPr>
        <w:t>We are about to make a significant investment in cleaning labor. That investment is justified, and a separate analysis supports it. But before it goes to the board it is worth showing what members are actually telling us about our facilities, because cleanliness is not the whole picture and the board will reasonably ask what else is in the complaint data.</w:t>
      </w:r>
    </w:p>
    <w:p>
      <w:pPr>
        <w:spacing w:before="260" w:after="80"/>
      </w:pPr>
      <w:r>
        <w:rPr>
          <w:b/>
          <w:color w:val="222222"/>
          <w:sz w:val="20"/>
        </w:rPr>
        <w:t>THE DATA</w:t>
      </w:r>
    </w:p>
    <w:p>
      <w:r>
        <w:rPr>
          <w:color w:val="222222"/>
        </w:rPr>
        <w:t>Listen360 collected 7,783 member reviews across 51 days, July 26 through September 14. Of those, 290 raised a facility issue. Those 290 reviews carry 372 category tags, because a member describing a hot room with a dirty locker room is counted under both.</w:t>
      </w:r>
    </w:p>
    <w:tbl>
      <w:tblPr>
        <w:tblStyle w:val="TableGrid"/>
        <w:tblW w:type="auto" w:w="0"/>
        <w:jc w:val="center"/>
        <w:tblLook w:firstColumn="1" w:firstRow="1" w:lastColumn="0" w:lastRow="0" w:noHBand="0" w:noVBand="1" w:val="04A0"/>
      </w:tblPr>
      <w:tblGrid>
        <w:gridCol w:w="1608"/>
        <w:gridCol w:w="1608"/>
        <w:gridCol w:w="1608"/>
        <w:gridCol w:w="1608"/>
        <w:gridCol w:w="1608"/>
        <w:gridCol w:w="1608"/>
      </w:tblGrid>
      <w:tr>
        <w:tc>
          <w:tcPr>
            <w:tcW w:type="dxa" w:w="2304"/>
            <w:shd w:val="clear" w:color="auto" w:fill="F2F2F2"/>
          </w:tcPr>
          <w:p>
            <w:pPr>
              <w:spacing w:after="40"/>
            </w:pPr>
            <w:r/>
            <w:r>
              <w:rPr>
                <w:b/>
                <w:color w:val="222222"/>
                <w:sz w:val="17"/>
              </w:rPr>
              <w:t>Category</w:t>
            </w:r>
          </w:p>
        </w:tc>
        <w:tc>
          <w:tcPr>
            <w:tcW w:type="dxa" w:w="864"/>
            <w:shd w:val="clear" w:color="auto" w:fill="F2F2F2"/>
          </w:tcPr>
          <w:p>
            <w:pPr>
              <w:spacing w:after="40"/>
            </w:pPr>
            <w:r/>
            <w:r>
              <w:rPr>
                <w:b/>
                <w:color w:val="222222"/>
                <w:sz w:val="17"/>
              </w:rPr>
              <w:t>Tags</w:t>
            </w:r>
          </w:p>
        </w:tc>
        <w:tc>
          <w:tcPr>
            <w:tcW w:type="dxa" w:w="1440"/>
            <w:shd w:val="clear" w:color="auto" w:fill="F2F2F2"/>
          </w:tcPr>
          <w:p>
            <w:pPr>
              <w:spacing w:after="40"/>
            </w:pPr>
            <w:r/>
            <w:r>
              <w:rPr>
                <w:b/>
                <w:color w:val="222222"/>
                <w:sz w:val="17"/>
              </w:rPr>
              <w:t>Share of tags</w:t>
            </w:r>
          </w:p>
        </w:tc>
        <w:tc>
          <w:tcPr>
            <w:tcW w:type="dxa" w:w="1440"/>
            <w:shd w:val="clear" w:color="auto" w:fill="F2F2F2"/>
          </w:tcPr>
          <w:p>
            <w:pPr>
              <w:spacing w:after="40"/>
            </w:pPr>
            <w:r/>
            <w:r>
              <w:rPr>
                <w:b/>
                <w:color w:val="222222"/>
                <w:sz w:val="17"/>
              </w:rPr>
              <w:t>Studios affected</w:t>
            </w:r>
          </w:p>
        </w:tc>
        <w:tc>
          <w:tcPr>
            <w:tcW w:type="dxa" w:w="1296"/>
            <w:shd w:val="clear" w:color="auto" w:fill="F2F2F2"/>
          </w:tcPr>
          <w:p>
            <w:pPr>
              <w:spacing w:after="40"/>
            </w:pPr>
            <w:r/>
            <w:r>
              <w:rPr>
                <w:b/>
                <w:color w:val="222222"/>
                <w:sz w:val="17"/>
              </w:rPr>
              <w:t>Detractor share</w:t>
            </w:r>
          </w:p>
        </w:tc>
        <w:tc>
          <w:tcPr>
            <w:tcW w:type="dxa" w:w="1152"/>
            <w:shd w:val="clear" w:color="auto" w:fill="F2F2F2"/>
          </w:tcPr>
          <w:p>
            <w:pPr>
              <w:spacing w:after="40"/>
            </w:pPr>
            <w:r/>
            <w:r>
              <w:rPr>
                <w:b/>
                <w:color w:val="222222"/>
                <w:sz w:val="17"/>
              </w:rPr>
              <w:t>Average score</w:t>
            </w:r>
          </w:p>
        </w:tc>
      </w:tr>
      <w:tr>
        <w:tc>
          <w:tcPr>
            <w:tcW w:type="dxa" w:w="2304"/>
          </w:tcPr>
          <w:p>
            <w:pPr>
              <w:spacing w:after="40"/>
            </w:pPr>
            <w:r/>
            <w:r>
              <w:rPr>
                <w:color w:val="222222"/>
                <w:sz w:val="17"/>
              </w:rPr>
              <w:t>Cleanliness</w:t>
            </w:r>
          </w:p>
        </w:tc>
        <w:tc>
          <w:tcPr>
            <w:tcW w:type="dxa" w:w="864"/>
          </w:tcPr>
          <w:p>
            <w:pPr>
              <w:spacing w:after="40"/>
            </w:pPr>
            <w:r/>
            <w:r>
              <w:rPr>
                <w:color w:val="222222"/>
                <w:sz w:val="17"/>
              </w:rPr>
              <w:t>134</w:t>
            </w:r>
          </w:p>
        </w:tc>
        <w:tc>
          <w:tcPr>
            <w:tcW w:type="dxa" w:w="1440"/>
          </w:tcPr>
          <w:p>
            <w:pPr>
              <w:spacing w:after="40"/>
            </w:pPr>
            <w:r/>
            <w:r>
              <w:rPr>
                <w:color w:val="222222"/>
                <w:sz w:val="17"/>
              </w:rPr>
              <w:t>36.0 percent</w:t>
            </w:r>
          </w:p>
        </w:tc>
        <w:tc>
          <w:tcPr>
            <w:tcW w:type="dxa" w:w="1440"/>
          </w:tcPr>
          <w:p>
            <w:pPr>
              <w:spacing w:after="40"/>
            </w:pPr>
            <w:r/>
            <w:r>
              <w:rPr>
                <w:color w:val="222222"/>
                <w:sz w:val="17"/>
              </w:rPr>
              <w:t>94</w:t>
            </w:r>
          </w:p>
        </w:tc>
        <w:tc>
          <w:tcPr>
            <w:tcW w:type="dxa" w:w="1296"/>
          </w:tcPr>
          <w:p>
            <w:pPr>
              <w:spacing w:after="40"/>
            </w:pPr>
            <w:r/>
            <w:r>
              <w:rPr>
                <w:color w:val="222222"/>
                <w:sz w:val="17"/>
              </w:rPr>
              <w:t>70.1 percent</w:t>
            </w:r>
          </w:p>
        </w:tc>
        <w:tc>
          <w:tcPr>
            <w:tcW w:type="dxa" w:w="1152"/>
          </w:tcPr>
          <w:p>
            <w:pPr>
              <w:spacing w:after="40"/>
            </w:pPr>
            <w:r/>
            <w:r>
              <w:rPr>
                <w:color w:val="222222"/>
                <w:sz w:val="17"/>
              </w:rPr>
              <w:t>4.5</w:t>
            </w:r>
          </w:p>
        </w:tc>
      </w:tr>
      <w:tr>
        <w:tc>
          <w:tcPr>
            <w:tcW w:type="dxa" w:w="2304"/>
          </w:tcPr>
          <w:p>
            <w:pPr>
              <w:spacing w:after="40"/>
            </w:pPr>
            <w:r/>
            <w:r>
              <w:rPr>
                <w:color w:val="222222"/>
                <w:sz w:val="17"/>
              </w:rPr>
              <w:t>HVAC and temperature</w:t>
            </w:r>
          </w:p>
        </w:tc>
        <w:tc>
          <w:tcPr>
            <w:tcW w:type="dxa" w:w="864"/>
          </w:tcPr>
          <w:p>
            <w:pPr>
              <w:spacing w:after="40"/>
            </w:pPr>
            <w:r/>
            <w:r>
              <w:rPr>
                <w:color w:val="222222"/>
                <w:sz w:val="17"/>
              </w:rPr>
              <w:t>98</w:t>
            </w:r>
          </w:p>
        </w:tc>
        <w:tc>
          <w:tcPr>
            <w:tcW w:type="dxa" w:w="1440"/>
          </w:tcPr>
          <w:p>
            <w:pPr>
              <w:spacing w:after="40"/>
            </w:pPr>
            <w:r/>
            <w:r>
              <w:rPr>
                <w:color w:val="222222"/>
                <w:sz w:val="17"/>
              </w:rPr>
              <w:t>26.3 percent</w:t>
            </w:r>
          </w:p>
        </w:tc>
        <w:tc>
          <w:tcPr>
            <w:tcW w:type="dxa" w:w="1440"/>
          </w:tcPr>
          <w:p>
            <w:pPr>
              <w:spacing w:after="40"/>
            </w:pPr>
            <w:r/>
            <w:r>
              <w:rPr>
                <w:color w:val="222222"/>
                <w:sz w:val="17"/>
              </w:rPr>
              <w:t>70</w:t>
            </w:r>
          </w:p>
        </w:tc>
        <w:tc>
          <w:tcPr>
            <w:tcW w:type="dxa" w:w="1296"/>
          </w:tcPr>
          <w:p>
            <w:pPr>
              <w:spacing w:after="40"/>
            </w:pPr>
            <w:r/>
            <w:r>
              <w:rPr>
                <w:color w:val="222222"/>
                <w:sz w:val="17"/>
              </w:rPr>
              <w:t>63.3 percent</w:t>
            </w:r>
          </w:p>
        </w:tc>
        <w:tc>
          <w:tcPr>
            <w:tcW w:type="dxa" w:w="1152"/>
          </w:tcPr>
          <w:p>
            <w:pPr>
              <w:spacing w:after="40"/>
            </w:pPr>
            <w:r/>
            <w:r>
              <w:rPr>
                <w:color w:val="222222"/>
                <w:sz w:val="17"/>
              </w:rPr>
              <w:t>5.1</w:t>
            </w:r>
          </w:p>
        </w:tc>
      </w:tr>
      <w:tr>
        <w:tc>
          <w:tcPr>
            <w:tcW w:type="dxa" w:w="2304"/>
          </w:tcPr>
          <w:p>
            <w:pPr>
              <w:spacing w:after="40"/>
            </w:pPr>
            <w:r/>
            <w:r>
              <w:rPr>
                <w:color w:val="222222"/>
                <w:sz w:val="17"/>
              </w:rPr>
              <w:t>Maintenance</w:t>
            </w:r>
          </w:p>
        </w:tc>
        <w:tc>
          <w:tcPr>
            <w:tcW w:type="dxa" w:w="864"/>
          </w:tcPr>
          <w:p>
            <w:pPr>
              <w:spacing w:after="40"/>
            </w:pPr>
            <w:r/>
            <w:r>
              <w:rPr>
                <w:color w:val="222222"/>
                <w:sz w:val="17"/>
              </w:rPr>
              <w:t>57</w:t>
            </w:r>
          </w:p>
        </w:tc>
        <w:tc>
          <w:tcPr>
            <w:tcW w:type="dxa" w:w="1440"/>
          </w:tcPr>
          <w:p>
            <w:pPr>
              <w:spacing w:after="40"/>
            </w:pPr>
            <w:r/>
            <w:r>
              <w:rPr>
                <w:color w:val="222222"/>
                <w:sz w:val="17"/>
              </w:rPr>
              <w:t>15.3 percent</w:t>
            </w:r>
          </w:p>
        </w:tc>
        <w:tc>
          <w:tcPr>
            <w:tcW w:type="dxa" w:w="1440"/>
          </w:tcPr>
          <w:p>
            <w:pPr>
              <w:spacing w:after="40"/>
            </w:pPr>
            <w:r/>
            <w:r>
              <w:rPr>
                <w:color w:val="222222"/>
                <w:sz w:val="17"/>
              </w:rPr>
              <w:t>52</w:t>
            </w:r>
          </w:p>
        </w:tc>
        <w:tc>
          <w:tcPr>
            <w:tcW w:type="dxa" w:w="1296"/>
          </w:tcPr>
          <w:p>
            <w:pPr>
              <w:spacing w:after="40"/>
            </w:pPr>
            <w:r/>
            <w:r>
              <w:rPr>
                <w:color w:val="222222"/>
                <w:sz w:val="17"/>
              </w:rPr>
              <w:t>66.7 percent</w:t>
            </w:r>
          </w:p>
        </w:tc>
        <w:tc>
          <w:tcPr>
            <w:tcW w:type="dxa" w:w="1152"/>
          </w:tcPr>
          <w:p>
            <w:pPr>
              <w:spacing w:after="40"/>
            </w:pPr>
            <w:r/>
            <w:r>
              <w:rPr>
                <w:color w:val="222222"/>
                <w:sz w:val="17"/>
              </w:rPr>
              <w:t>5.0</w:t>
            </w:r>
          </w:p>
        </w:tc>
      </w:tr>
      <w:tr>
        <w:tc>
          <w:tcPr>
            <w:tcW w:type="dxa" w:w="2304"/>
          </w:tcPr>
          <w:p>
            <w:pPr>
              <w:spacing w:after="40"/>
            </w:pPr>
            <w:r/>
            <w:r>
              <w:rPr>
                <w:color w:val="222222"/>
                <w:sz w:val="17"/>
              </w:rPr>
              <w:t>Capacity and crowding</w:t>
            </w:r>
          </w:p>
        </w:tc>
        <w:tc>
          <w:tcPr>
            <w:tcW w:type="dxa" w:w="864"/>
          </w:tcPr>
          <w:p>
            <w:pPr>
              <w:spacing w:after="40"/>
            </w:pPr>
            <w:r/>
            <w:r>
              <w:rPr>
                <w:color w:val="222222"/>
                <w:sz w:val="17"/>
              </w:rPr>
              <w:t>42</w:t>
            </w:r>
          </w:p>
        </w:tc>
        <w:tc>
          <w:tcPr>
            <w:tcW w:type="dxa" w:w="1440"/>
          </w:tcPr>
          <w:p>
            <w:pPr>
              <w:spacing w:after="40"/>
            </w:pPr>
            <w:r/>
            <w:r>
              <w:rPr>
                <w:color w:val="222222"/>
                <w:sz w:val="17"/>
              </w:rPr>
              <w:t>11.3 percent</w:t>
            </w:r>
          </w:p>
        </w:tc>
        <w:tc>
          <w:tcPr>
            <w:tcW w:type="dxa" w:w="1440"/>
          </w:tcPr>
          <w:p>
            <w:pPr>
              <w:spacing w:after="40"/>
            </w:pPr>
            <w:r/>
            <w:r>
              <w:rPr>
                <w:color w:val="222222"/>
                <w:sz w:val="17"/>
              </w:rPr>
              <w:t>33</w:t>
            </w:r>
          </w:p>
        </w:tc>
        <w:tc>
          <w:tcPr>
            <w:tcW w:type="dxa" w:w="1296"/>
          </w:tcPr>
          <w:p>
            <w:pPr>
              <w:spacing w:after="40"/>
            </w:pPr>
            <w:r/>
            <w:r>
              <w:rPr>
                <w:color w:val="222222"/>
                <w:sz w:val="17"/>
              </w:rPr>
              <w:t>54.8 percent</w:t>
            </w:r>
          </w:p>
        </w:tc>
        <w:tc>
          <w:tcPr>
            <w:tcW w:type="dxa" w:w="1152"/>
          </w:tcPr>
          <w:p>
            <w:pPr>
              <w:spacing w:after="40"/>
            </w:pPr>
            <w:r/>
            <w:r>
              <w:rPr>
                <w:color w:val="222222"/>
                <w:sz w:val="17"/>
              </w:rPr>
              <w:t>5.1</w:t>
            </w:r>
          </w:p>
        </w:tc>
      </w:tr>
      <w:tr>
        <w:tc>
          <w:tcPr>
            <w:tcW w:type="dxa" w:w="2304"/>
          </w:tcPr>
          <w:p>
            <w:pPr>
              <w:spacing w:after="40"/>
            </w:pPr>
            <w:r/>
            <w:r>
              <w:rPr>
                <w:color w:val="222222"/>
                <w:sz w:val="17"/>
              </w:rPr>
              <w:t>Plumbing</w:t>
            </w:r>
          </w:p>
        </w:tc>
        <w:tc>
          <w:tcPr>
            <w:tcW w:type="dxa" w:w="864"/>
          </w:tcPr>
          <w:p>
            <w:pPr>
              <w:spacing w:after="40"/>
            </w:pPr>
            <w:r/>
            <w:r>
              <w:rPr>
                <w:color w:val="222222"/>
                <w:sz w:val="17"/>
              </w:rPr>
              <w:t>41</w:t>
            </w:r>
          </w:p>
        </w:tc>
        <w:tc>
          <w:tcPr>
            <w:tcW w:type="dxa" w:w="1440"/>
          </w:tcPr>
          <w:p>
            <w:pPr>
              <w:spacing w:after="40"/>
            </w:pPr>
            <w:r/>
            <w:r>
              <w:rPr>
                <w:color w:val="222222"/>
                <w:sz w:val="17"/>
              </w:rPr>
              <w:t>11.0 percent</w:t>
            </w:r>
          </w:p>
        </w:tc>
        <w:tc>
          <w:tcPr>
            <w:tcW w:type="dxa" w:w="1440"/>
          </w:tcPr>
          <w:p>
            <w:pPr>
              <w:spacing w:after="40"/>
            </w:pPr>
            <w:r/>
            <w:r>
              <w:rPr>
                <w:color w:val="222222"/>
                <w:sz w:val="17"/>
              </w:rPr>
              <w:t>36</w:t>
            </w:r>
          </w:p>
        </w:tc>
        <w:tc>
          <w:tcPr>
            <w:tcW w:type="dxa" w:w="1296"/>
          </w:tcPr>
          <w:p>
            <w:pPr>
              <w:spacing w:after="40"/>
            </w:pPr>
            <w:r/>
            <w:r>
              <w:rPr>
                <w:color w:val="222222"/>
                <w:sz w:val="17"/>
              </w:rPr>
              <w:t>63.4 percent</w:t>
            </w:r>
          </w:p>
        </w:tc>
        <w:tc>
          <w:tcPr>
            <w:tcW w:type="dxa" w:w="1152"/>
          </w:tcPr>
          <w:p>
            <w:pPr>
              <w:spacing w:after="40"/>
            </w:pPr>
            <w:r/>
            <w:r>
              <w:rPr>
                <w:color w:val="222222"/>
                <w:sz w:val="17"/>
              </w:rPr>
              <w:t>5.3</w:t>
            </w:r>
          </w:p>
        </w:tc>
      </w:tr>
    </w:tbl>
    <w:p>
      <w:pPr>
        <w:spacing w:after="40"/>
      </w:pPr>
    </w:p>
    <w:p>
      <w:pPr>
        <w:spacing w:before="260" w:after="80"/>
      </w:pPr>
      <w:r>
        <w:rPr>
          <w:b/>
          <w:color w:val="222222"/>
          <w:sz w:val="20"/>
        </w:rPr>
        <w:t>CLEANLINESS IS THE RIGHT FIRST PRIORITY</w:t>
      </w:r>
    </w:p>
    <w:p>
      <w:r>
        <w:rPr>
          <w:color w:val="222222"/>
        </w:rPr>
        <w:t>The data supports the decision we have already made. Cleanliness is the plurality of facility complaints at 36 percent of tags, it appears at 94 studios which is more than any other category, and it is the most severe. Seventy percent of cleanliness complaints come from detractors, at an average score of 4.5. Every other category sits at 5.0 or above.</w:t>
      </w:r>
    </w:p>
    <w:p>
      <w:pPr>
        <w:spacing w:before="120" w:after="200"/>
        <w:ind w:left="216"/>
        <w:pBdr>
          <w:left w:val="single" w:sz="18" w:color="FF8200" w:space="8"/>
        </w:pBdr>
      </w:pPr>
      <w:r>
        <w:rPr>
          <w:b/>
          <w:color w:val="222222"/>
        </w:rPr>
        <w:t xml:space="preserve">The severity finding. </w:t>
      </w:r>
      <w:r>
        <w:rPr>
          <w:color w:val="222222"/>
          <w:sz w:val="20"/>
        </w:rPr>
        <w:t>When a member raises cleanliness they are angrier than when they raise anything else. It is both the most common facility complaint and the one that costs us the most when it happens.</w:t>
      </w:r>
    </w:p>
    <w:p>
      <w:pPr>
        <w:spacing w:before="260" w:after="80"/>
      </w:pPr>
      <w:r>
        <w:rPr>
          <w:b/>
          <w:color w:val="222222"/>
          <w:sz w:val="20"/>
        </w:rPr>
        <w:t>HVAC IS THE SECOND FRONT AND IT IS NOT SMALL</w:t>
      </w:r>
    </w:p>
    <w:p>
      <w:r>
        <w:rPr>
          <w:color w:val="222222"/>
        </w:rPr>
        <w:t>HVAC and temperature is 26.3 percent of tags across 70 studios. That is roughly three quarters the reach of cleanliness and it is the single largest non cleanliness driver by a wide margin. Maintenance follows at 15.3 percent across 52 studios.</w:t>
      </w:r>
    </w:p>
    <w:p>
      <w:r>
        <w:rPr>
          <w:color w:val="222222"/>
        </w:rPr>
        <w:t>The distinction that matters: cleaning is a labor problem and we are solving it with labor. HVAC is a capital and vendor problem. No amount of support team headcount addresses a studio that is too hot. A studio can hit the 39 member standard, run a spotless floor, and still generate detractors because the room is uncomfortable.</w:t>
      </w:r>
    </w:p>
    <w:p>
      <w:pPr>
        <w:spacing w:before="120" w:after="200"/>
        <w:ind w:left="216"/>
        <w:pBdr>
          <w:left w:val="single" w:sz="18" w:color="FF8200" w:space="8"/>
        </w:pBdr>
      </w:pPr>
      <w:r>
        <w:rPr>
          <w:b/>
          <w:color w:val="222222"/>
        </w:rPr>
        <w:t xml:space="preserve">The point. </w:t>
      </w:r>
      <w:r>
        <w:rPr>
          <w:color w:val="222222"/>
          <w:sz w:val="20"/>
        </w:rPr>
        <w:t>The cleaning investment does not touch 64 percent of what members raise about our facilities. That is not an argument against it. It is an argument for knowing what the investment does and does not buy.</w:t>
      </w:r>
    </w:p>
    <w:p>
      <w:pPr>
        <w:spacing w:before="260" w:after="80"/>
      </w:pPr>
      <w:r>
        <w:rPr>
          <w:b/>
          <w:color w:val="222222"/>
          <w:sz w:val="20"/>
        </w:rPr>
        <w:t>WHAT THE KEYWORD DATA SHOWS</w:t>
      </w:r>
    </w:p>
    <w:p>
      <w:r>
        <w:rPr>
          <w:color w:val="222222"/>
        </w:rPr>
        <w:t>The most frequent terms inside facility complaints, in order: heat, smell, dirty, too hot, shower, locker room, crowded, cleanliness, gross, humid. Temperature language appears as often as cleanliness language does.</w:t>
      </w:r>
    </w:p>
    <w:p>
      <w:r>
        <w:rPr>
          <w:color w:val="222222"/>
        </w:rPr>
        <w:t>That pattern is consistent with a hot yoga business where room temperature is both a core product feature and a frequent point of failure. When it is wrong, members notice immediately and say so.</w:t>
      </w:r>
    </w:p>
    <w:p>
      <w:pPr>
        <w:spacing w:before="260" w:after="80"/>
      </w:pPr>
      <w:r>
        <w:rPr>
          <w:b/>
          <w:color w:val="222222"/>
          <w:sz w:val="20"/>
        </w:rPr>
        <w:t>WHAT I CANNOT TELL YOU</w:t>
      </w:r>
    </w:p>
    <w:p>
      <w:r>
        <w:rPr>
          <w:color w:val="222222"/>
        </w:rPr>
        <w:t>This memo describes what members complain about. It does not describe what we are doing about it, because I do not have the data to say.</w:t>
      </w:r>
    </w:p>
    <w:p>
      <w:pPr>
        <w:pStyle w:val="ListBullet"/>
        <w:spacing w:after="60"/>
      </w:pPr>
      <w:r>
        <w:rPr>
          <w:b/>
          <w:color w:val="222222"/>
        </w:rPr>
        <w:t xml:space="preserve">Current capital and facilities spend. </w:t>
      </w:r>
      <w:r>
        <w:rPr>
          <w:color w:val="222222"/>
        </w:rPr>
        <w:t>I have no visibility into current HVAC or facilities spend, planned capital projects, or deferred maintenance backlog.</w:t>
      </w:r>
    </w:p>
    <w:p>
      <w:pPr>
        <w:pStyle w:val="ListBullet"/>
        <w:spacing w:after="60"/>
      </w:pPr>
      <w:r>
        <w:rPr>
          <w:b/>
          <w:color w:val="222222"/>
        </w:rPr>
        <w:t xml:space="preserve">Root cause. </w:t>
      </w:r>
      <w:r>
        <w:rPr>
          <w:color w:val="222222"/>
        </w:rPr>
        <w:t>Whether the 70 HVAC studios reflect aging equipment, undersized systems, vendor response times, or something else entirely.</w:t>
      </w:r>
    </w:p>
    <w:p>
      <w:pPr>
        <w:pStyle w:val="ListBullet"/>
        <w:spacing w:after="60"/>
      </w:pPr>
      <w:r>
        <w:rPr>
          <w:b/>
          <w:color w:val="222222"/>
        </w:rPr>
        <w:t xml:space="preserve">Cost to remediate. </w:t>
      </w:r>
      <w:r>
        <w:rPr>
          <w:color w:val="222222"/>
        </w:rPr>
        <w:t>A cleaning labor hour has a known cost. An HVAC repair does not, and the two cannot be compared without it.</w:t>
      </w:r>
    </w:p>
    <w:p>
      <w:pPr>
        <w:pStyle w:val="ListBullet"/>
        <w:spacing w:after="60"/>
      </w:pPr>
      <w:r>
        <w:rPr>
          <w:b/>
          <w:color w:val="222222"/>
        </w:rPr>
        <w:t xml:space="preserve">Seasonality. </w:t>
      </w:r>
      <w:r>
        <w:rPr>
          <w:color w:val="222222"/>
        </w:rPr>
        <w:t>Fifty one days in late summer will overstate temperature complaints. A winter window would look different and the true annual picture sits somewhere between.</w:t>
      </w:r>
    </w:p>
    <w:p>
      <w:pPr>
        <w:spacing w:before="260" w:after="80"/>
      </w:pPr>
      <w:r>
        <w:rPr>
          <w:b/>
          <w:color w:val="222222"/>
          <w:sz w:val="20"/>
        </w:rPr>
        <w:t>RECOMMENDATION</w:t>
      </w:r>
    </w:p>
    <w:p>
      <w:pPr>
        <w:pStyle w:val="ListBullet"/>
        <w:spacing w:after="60"/>
      </w:pPr>
      <w:r>
        <w:rPr>
          <w:b/>
          <w:color w:val="222222"/>
        </w:rPr>
        <w:t xml:space="preserve">Proceed with the cleaning investment as planned. </w:t>
      </w:r>
      <w:r>
        <w:rPr>
          <w:color w:val="222222"/>
        </w:rPr>
        <w:t>The data supports it. Cleanliness is the most frequent and most severe facility complaint. Nothing here argues for slowing that work.</w:t>
      </w:r>
    </w:p>
    <w:p>
      <w:pPr>
        <w:pStyle w:val="ListBullet"/>
        <w:spacing w:after="60"/>
      </w:pPr>
      <w:r>
        <w:rPr>
          <w:b/>
          <w:color w:val="222222"/>
        </w:rPr>
        <w:t xml:space="preserve">Stand HVAC up as its own workstream. </w:t>
      </w:r>
      <w:r>
        <w:rPr>
          <w:color w:val="222222"/>
        </w:rPr>
        <w:t>It affects 70 studios and is the second largest driver of facility complaints. It deserves a named owner and a line in the capital conversation rather than sitting inside a general facilities budget.</w:t>
      </w:r>
    </w:p>
    <w:p>
      <w:pPr>
        <w:pStyle w:val="ListBullet"/>
        <w:spacing w:after="60"/>
      </w:pPr>
      <w:r>
        <w:rPr>
          <w:b/>
          <w:color w:val="222222"/>
        </w:rPr>
        <w:t xml:space="preserve">Set expectations before the board does. </w:t>
      </w:r>
      <w:r>
        <w:rPr>
          <w:color w:val="222222"/>
        </w:rPr>
        <w:t>If the board hears cleanliness investment without context, the reasonable question is why complaints did not fall as much as expected. Naming the 64 percent up front is better than explaining it later.</w:t>
      </w:r>
    </w:p>
    <w:p>
      <w:pPr>
        <w:pStyle w:val="ListBullet"/>
        <w:spacing w:after="60"/>
      </w:pPr>
      <w:r>
        <w:rPr>
          <w:b/>
          <w:color w:val="222222"/>
        </w:rPr>
        <w:t xml:space="preserve">Close the data gap. </w:t>
      </w:r>
      <w:r>
        <w:rPr>
          <w:color w:val="222222"/>
        </w:rPr>
        <w:t>Pull the facilities spend and work order data so the two fronts can be compared on cost and not just on complaint volume.</w:t>
      </w:r>
    </w:p>
    <w:p>
      <w:pPr>
        <w:spacing w:before="260" w:after="80"/>
      </w:pPr>
      <w:r>
        <w:rPr>
          <w:b/>
          <w:color w:val="222222"/>
          <w:sz w:val="20"/>
        </w:rPr>
        <w:t>NOTE ON AN EARLIER FIGURE</w:t>
      </w:r>
    </w:p>
    <w:p>
      <w:r>
        <w:rPr>
          <w:color w:val="222222"/>
        </w:rPr>
        <w:t>A previous version of the correlation analysis reported cleanliness at 28 percent and HVAC plus maintenance at 54 percent. Those figures mixed denominators, counting category tags against the number of flagged reviews. All shares in this memo use tags as the denominator, 372 in total. The correlation memo has been corrected to match.</w:t>
      </w:r>
    </w:p>
    <w:p>
      <w:pPr>
        <w:spacing w:before="320"/>
        <w:pBdr>
          <w:top w:val="single" w:sz="6" w:color="D2D2D2"/>
        </w:pBdr>
      </w:pPr>
      <w:r>
        <w:rPr>
          <w:color w:val="999999"/>
          <w:sz w:val="15"/>
        </w:rPr>
        <w:t>CorePower Yoga  |  Prepared by Michelle Salvatore, SVP Head of Operations  |  September 2026  |  Source: studio payroll and attendance data, 221 active studios</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