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222222"/>
          <w:sz w:val="38"/>
        </w:rPr>
        <w:t>Dedicated Cleaner Coverage Model</w:t>
      </w:r>
    </w:p>
    <w:p>
      <w:pPr>
        <w:spacing w:after="200"/>
      </w:pPr>
      <w:r>
        <w:rPr>
          <w:color w:val="555555"/>
          <w:sz w:val="20"/>
        </w:rPr>
        <w:t>Sizing step E across 55 flagged studios</w:t>
      </w:r>
    </w:p>
    <w:p>
      <w:pPr>
        <w:spacing w:after="240"/>
        <w:pBdr>
          <w:bottom w:val="single" w:sz="18" w:color="FF8200"/>
        </w:pBdr>
      </w:pPr>
    </w:p>
    <w:p>
      <w:pPr>
        <w:spacing w:before="260" w:after="80"/>
      </w:pPr>
      <w:r>
        <w:rPr>
          <w:b/>
          <w:color w:val="222222"/>
          <w:sz w:val="20"/>
        </w:rPr>
        <w:t>PURPOSE</w:t>
      </w:r>
    </w:p>
    <w:p>
      <w:r>
        <w:rPr>
          <w:color w:val="222222"/>
        </w:rPr>
        <w:t>Dedicated cleaners are the last intervention in the cleanliness sequence and the most expensive. This memo sizes that investment in advance so it can be budgeted deliberately rather than scoped under pressure when studios begin arriving at step E.</w:t>
      </w:r>
    </w:p>
    <w:p>
      <w:pPr>
        <w:spacing w:before="120" w:after="200"/>
        <w:ind w:left="216"/>
        <w:pBdr>
          <w:left w:val="single" w:sz="18" w:color="FF8200" w:space="8"/>
        </w:pBdr>
      </w:pPr>
      <w:r>
        <w:rPr>
          <w:b/>
          <w:color w:val="222222"/>
        </w:rPr>
        <w:t xml:space="preserve">Important. </w:t>
      </w:r>
      <w:r>
        <w:rPr>
          <w:color w:val="222222"/>
          <w:sz w:val="20"/>
        </w:rPr>
        <w:t>No studio is at step E today. These 55 are flagged as likely candidates, not placed. Nothing reaches the dedicated cleaner conversation until wage and hour adjustment has genuinely been tried and has failed to close the gap.</w:t>
      </w:r>
    </w:p>
    <w:p>
      <w:pPr>
        <w:spacing w:before="260" w:after="80"/>
      </w:pPr>
      <w:r>
        <w:rPr>
          <w:b/>
          <w:color w:val="222222"/>
          <w:sz w:val="20"/>
        </w:rPr>
        <w:t>HOW A STUDIO EARNS THE FLAG</w:t>
      </w:r>
    </w:p>
    <w:p>
      <w:r>
        <w:rPr>
          <w:color w:val="222222"/>
        </w:rPr>
        <w:t>Four conditions have to hold at once. Each one removes studios that a cheaper intervention would fix.</w:t>
      </w:r>
    </w:p>
    <w:p>
      <w:pPr>
        <w:pStyle w:val="ListBullet"/>
        <w:spacing w:after="60"/>
      </w:pPr>
      <w:r>
        <w:rPr>
          <w:b/>
          <w:color w:val="222222"/>
        </w:rPr>
        <w:t xml:space="preserve">A high wage market. </w:t>
      </w:r>
      <w:r>
        <w:rPr>
          <w:color w:val="222222"/>
        </w:rPr>
        <w:t>Support team recruitment at minimum wage is structurally difficult. Raising pay will not solve what the labor market itself will not supply.</w:t>
      </w:r>
    </w:p>
    <w:p>
      <w:pPr>
        <w:pStyle w:val="ListBullet"/>
        <w:spacing w:after="60"/>
      </w:pPr>
      <w:r>
        <w:rPr>
          <w:b/>
          <w:color w:val="222222"/>
        </w:rPr>
        <w:t xml:space="preserve">180 or more daily visits. </w:t>
      </w:r>
      <w:r>
        <w:rPr>
          <w:color w:val="222222"/>
        </w:rPr>
        <w:t>The cleaning load is continuous rather than periodic. Volume at this level does not fit into gaps between classes.</w:t>
      </w:r>
    </w:p>
    <w:p>
      <w:pPr>
        <w:pStyle w:val="ListBullet"/>
        <w:spacing w:after="60"/>
      </w:pPr>
      <w:r>
        <w:rPr>
          <w:b/>
          <w:color w:val="222222"/>
        </w:rPr>
        <w:t xml:space="preserve">The studio is profitable. </w:t>
      </w:r>
      <w:r>
        <w:rPr>
          <w:color w:val="222222"/>
        </w:rPr>
        <w:t>This is the highest cost line in the sequence. A studio that cannot carry it does not qualify regardless of how stretched its team is.</w:t>
      </w:r>
    </w:p>
    <w:p>
      <w:pPr>
        <w:pStyle w:val="ListBullet"/>
        <w:spacing w:after="60"/>
      </w:pPr>
      <w:r>
        <w:rPr>
          <w:b/>
          <w:color w:val="222222"/>
        </w:rPr>
        <w:t xml:space="preserve">25 or fewer support team members today. </w:t>
      </w:r>
      <w:r>
        <w:rPr>
          <w:color w:val="222222"/>
        </w:rPr>
        <w:t>A studio at 30 members needs 9 more people, not a cleaning contract. Above 25 the gap closes through hiring. Below 25, in an expensive market at high traffic, it does not.</w:t>
      </w:r>
    </w:p>
    <w:p>
      <w:pPr>
        <w:spacing w:before="260" w:after="80"/>
      </w:pPr>
      <w:r>
        <w:rPr>
          <w:b/>
          <w:color w:val="222222"/>
          <w:sz w:val="20"/>
        </w:rPr>
        <w:t>THE PRINCIPLE THE MODEL IS BUILT ON</w:t>
      </w:r>
    </w:p>
    <w:p>
      <w:r>
        <w:rPr>
          <w:color w:val="222222"/>
        </w:rPr>
        <w:t>Two and a half hours at open and two and a half at close is the high watermark. That is a coverage standard, not a budget variable. It reflects the time required to reset a studio properly while it is empty.</w:t>
      </w:r>
    </w:p>
    <w:p>
      <w:r>
        <w:rPr>
          <w:color w:val="222222"/>
        </w:rPr>
        <w:t>Because the hours per shift are fixed, the only honest lever is frequency. The model reduces days per week as volume falls, and at the lowest band it drops the closing shift entirely.</w:t>
      </w:r>
    </w:p>
    <w:p>
      <w:pPr>
        <w:spacing w:before="120" w:after="200"/>
        <w:ind w:left="216"/>
        <w:pBdr>
          <w:left w:val="single" w:sz="18" w:color="FF8200" w:space="8"/>
        </w:pBdr>
      </w:pPr>
      <w:r>
        <w:rPr>
          <w:b/>
          <w:color w:val="222222"/>
        </w:rPr>
        <w:t xml:space="preserve">Why the close comes off first. </w:t>
      </w:r>
      <w:r>
        <w:rPr>
          <w:color w:val="222222"/>
          <w:sz w:val="20"/>
        </w:rPr>
        <w:t>The open is about the state of the room. The close is about the volume that moved through it. Lower volume studios need the first and can absorb the second within the existing support team.</w:t>
      </w:r>
    </w:p>
    <w:p>
      <w:pPr>
        <w:spacing w:before="260" w:after="80"/>
      </w:pPr>
      <w:r>
        <w:rPr>
          <w:b/>
          <w:color w:val="222222"/>
          <w:sz w:val="20"/>
        </w:rPr>
        <w:t>THE THREE BANDS</w:t>
      </w:r>
    </w:p>
    <w:tbl>
      <w:tblPr>
        <w:tblStyle w:val="TableGrid"/>
        <w:tblW w:type="auto" w:w="0"/>
        <w:jc w:val="center"/>
        <w:tblLook w:firstColumn="1" w:firstRow="1" w:lastColumn="0" w:lastRow="0" w:noHBand="0" w:noVBand="1" w:val="04A0"/>
      </w:tblPr>
      <w:tblGrid>
        <w:gridCol w:w="1608"/>
        <w:gridCol w:w="1608"/>
        <w:gridCol w:w="1608"/>
        <w:gridCol w:w="1608"/>
        <w:gridCol w:w="1608"/>
        <w:gridCol w:w="1608"/>
      </w:tblGrid>
      <w:tr>
        <w:tc>
          <w:tcPr>
            <w:tcW w:type="dxa" w:w="864"/>
            <w:shd w:val="clear" w:color="auto" w:fill="F2F2F2"/>
          </w:tcPr>
          <w:p>
            <w:pPr>
              <w:spacing w:after="40"/>
            </w:pPr>
            <w:r/>
            <w:r>
              <w:rPr>
                <w:b/>
                <w:color w:val="222222"/>
                <w:sz w:val="17"/>
              </w:rPr>
              <w:t>Band</w:t>
            </w:r>
          </w:p>
        </w:tc>
        <w:tc>
          <w:tcPr>
            <w:tcW w:type="dxa" w:w="1728"/>
            <w:shd w:val="clear" w:color="auto" w:fill="F2F2F2"/>
          </w:tcPr>
          <w:p>
            <w:pPr>
              <w:spacing w:after="40"/>
            </w:pPr>
            <w:r/>
            <w:r>
              <w:rPr>
                <w:b/>
                <w:color w:val="222222"/>
                <w:sz w:val="17"/>
              </w:rPr>
              <w:t>Daily attendance</w:t>
            </w:r>
          </w:p>
        </w:tc>
        <w:tc>
          <w:tcPr>
            <w:tcW w:type="dxa" w:w="3168"/>
            <w:shd w:val="clear" w:color="auto" w:fill="F2F2F2"/>
          </w:tcPr>
          <w:p>
            <w:pPr>
              <w:spacing w:after="40"/>
            </w:pPr>
            <w:r/>
            <w:r>
              <w:rPr>
                <w:b/>
                <w:color w:val="222222"/>
                <w:sz w:val="17"/>
              </w:rPr>
              <w:t>Coverage</w:t>
            </w:r>
          </w:p>
        </w:tc>
        <w:tc>
          <w:tcPr>
            <w:tcW w:type="dxa" w:w="1296"/>
            <w:shd w:val="clear" w:color="auto" w:fill="F2F2F2"/>
          </w:tcPr>
          <w:p>
            <w:pPr>
              <w:spacing w:after="40"/>
            </w:pPr>
            <w:r/>
            <w:r>
              <w:rPr>
                <w:b/>
                <w:color w:val="222222"/>
                <w:sz w:val="17"/>
              </w:rPr>
              <w:t>Hours per week</w:t>
            </w:r>
          </w:p>
        </w:tc>
        <w:tc>
          <w:tcPr>
            <w:tcW w:type="dxa" w:w="1296"/>
            <w:shd w:val="clear" w:color="auto" w:fill="F2F2F2"/>
          </w:tcPr>
          <w:p>
            <w:pPr>
              <w:spacing w:after="40"/>
            </w:pPr>
            <w:r/>
            <w:r>
              <w:rPr>
                <w:b/>
                <w:color w:val="222222"/>
                <w:sz w:val="17"/>
              </w:rPr>
              <w:t>People</w:t>
            </w:r>
          </w:p>
        </w:tc>
        <w:tc>
          <w:tcPr>
            <w:tcW w:type="dxa" w:w="864"/>
            <w:shd w:val="clear" w:color="auto" w:fill="F2F2F2"/>
          </w:tcPr>
          <w:p>
            <w:pPr>
              <w:spacing w:after="40"/>
            </w:pPr>
            <w:r/>
            <w:r>
              <w:rPr>
                <w:b/>
                <w:color w:val="222222"/>
                <w:sz w:val="17"/>
              </w:rPr>
              <w:t>Studios</w:t>
            </w:r>
          </w:p>
        </w:tc>
      </w:tr>
      <w:tr>
        <w:tc>
          <w:tcPr>
            <w:tcW w:type="dxa" w:w="864"/>
          </w:tcPr>
          <w:p>
            <w:pPr>
              <w:spacing w:after="40"/>
            </w:pPr>
            <w:r/>
            <w:r>
              <w:rPr>
                <w:color w:val="222222"/>
                <w:sz w:val="17"/>
              </w:rPr>
              <w:t>High</w:t>
            </w:r>
          </w:p>
        </w:tc>
        <w:tc>
          <w:tcPr>
            <w:tcW w:type="dxa" w:w="1728"/>
          </w:tcPr>
          <w:p>
            <w:pPr>
              <w:spacing w:after="40"/>
            </w:pPr>
            <w:r/>
            <w:r>
              <w:rPr>
                <w:color w:val="222222"/>
                <w:sz w:val="17"/>
              </w:rPr>
              <w:t>250 or more</w:t>
            </w:r>
          </w:p>
        </w:tc>
        <w:tc>
          <w:tcPr>
            <w:tcW w:type="dxa" w:w="3168"/>
          </w:tcPr>
          <w:p>
            <w:pPr>
              <w:spacing w:after="40"/>
            </w:pPr>
            <w:r/>
            <w:r>
              <w:rPr>
                <w:color w:val="222222"/>
                <w:sz w:val="17"/>
              </w:rPr>
              <w:t>Open and close, 5 hours, 7 days</w:t>
            </w:r>
          </w:p>
        </w:tc>
        <w:tc>
          <w:tcPr>
            <w:tcW w:type="dxa" w:w="1296"/>
          </w:tcPr>
          <w:p>
            <w:pPr>
              <w:spacing w:after="40"/>
            </w:pPr>
            <w:r/>
            <w:r>
              <w:rPr>
                <w:color w:val="222222"/>
                <w:sz w:val="17"/>
              </w:rPr>
              <w:t>35</w:t>
            </w:r>
          </w:p>
        </w:tc>
        <w:tc>
          <w:tcPr>
            <w:tcW w:type="dxa" w:w="1296"/>
          </w:tcPr>
          <w:p>
            <w:pPr>
              <w:spacing w:after="40"/>
            </w:pPr>
            <w:r/>
            <w:r>
              <w:rPr>
                <w:color w:val="222222"/>
                <w:sz w:val="17"/>
              </w:rPr>
              <w:t>2 part time</w:t>
            </w:r>
          </w:p>
        </w:tc>
        <w:tc>
          <w:tcPr>
            <w:tcW w:type="dxa" w:w="864"/>
          </w:tcPr>
          <w:p>
            <w:pPr>
              <w:spacing w:after="40"/>
            </w:pPr>
            <w:r/>
            <w:r>
              <w:rPr>
                <w:color w:val="222222"/>
                <w:sz w:val="17"/>
              </w:rPr>
              <w:t>16</w:t>
            </w:r>
          </w:p>
        </w:tc>
      </w:tr>
      <w:tr>
        <w:tc>
          <w:tcPr>
            <w:tcW w:type="dxa" w:w="864"/>
          </w:tcPr>
          <w:p>
            <w:pPr>
              <w:spacing w:after="40"/>
            </w:pPr>
            <w:r/>
            <w:r>
              <w:rPr>
                <w:color w:val="222222"/>
                <w:sz w:val="17"/>
              </w:rPr>
              <w:t>Mid</w:t>
            </w:r>
          </w:p>
        </w:tc>
        <w:tc>
          <w:tcPr>
            <w:tcW w:type="dxa" w:w="1728"/>
          </w:tcPr>
          <w:p>
            <w:pPr>
              <w:spacing w:after="40"/>
            </w:pPr>
            <w:r/>
            <w:r>
              <w:rPr>
                <w:color w:val="222222"/>
                <w:sz w:val="17"/>
              </w:rPr>
              <w:t>210 to 249</w:t>
            </w:r>
          </w:p>
        </w:tc>
        <w:tc>
          <w:tcPr>
            <w:tcW w:type="dxa" w:w="3168"/>
          </w:tcPr>
          <w:p>
            <w:pPr>
              <w:spacing w:after="40"/>
            </w:pPr>
            <w:r/>
            <w:r>
              <w:rPr>
                <w:color w:val="222222"/>
                <w:sz w:val="17"/>
              </w:rPr>
              <w:t>Open and close, 5 hours, 5 days</w:t>
            </w:r>
          </w:p>
        </w:tc>
        <w:tc>
          <w:tcPr>
            <w:tcW w:type="dxa" w:w="1296"/>
          </w:tcPr>
          <w:p>
            <w:pPr>
              <w:spacing w:after="40"/>
            </w:pPr>
            <w:r/>
            <w:r>
              <w:rPr>
                <w:color w:val="222222"/>
                <w:sz w:val="17"/>
              </w:rPr>
              <w:t>25</w:t>
            </w:r>
          </w:p>
        </w:tc>
        <w:tc>
          <w:tcPr>
            <w:tcW w:type="dxa" w:w="1296"/>
          </w:tcPr>
          <w:p>
            <w:pPr>
              <w:spacing w:after="40"/>
            </w:pPr>
            <w:r/>
            <w:r>
              <w:rPr>
                <w:color w:val="222222"/>
                <w:sz w:val="17"/>
              </w:rPr>
              <w:t>2 part time</w:t>
            </w:r>
          </w:p>
        </w:tc>
        <w:tc>
          <w:tcPr>
            <w:tcW w:type="dxa" w:w="864"/>
          </w:tcPr>
          <w:p>
            <w:pPr>
              <w:spacing w:after="40"/>
            </w:pPr>
            <w:r/>
            <w:r>
              <w:rPr>
                <w:color w:val="222222"/>
                <w:sz w:val="17"/>
              </w:rPr>
              <w:t>21</w:t>
            </w:r>
          </w:p>
        </w:tc>
      </w:tr>
      <w:tr>
        <w:tc>
          <w:tcPr>
            <w:tcW w:type="dxa" w:w="864"/>
          </w:tcPr>
          <w:p>
            <w:pPr>
              <w:spacing w:after="40"/>
            </w:pPr>
            <w:r/>
            <w:r>
              <w:rPr>
                <w:color w:val="222222"/>
                <w:sz w:val="17"/>
              </w:rPr>
              <w:t>Low</w:t>
            </w:r>
          </w:p>
        </w:tc>
        <w:tc>
          <w:tcPr>
            <w:tcW w:type="dxa" w:w="1728"/>
          </w:tcPr>
          <w:p>
            <w:pPr>
              <w:spacing w:after="40"/>
            </w:pPr>
            <w:r/>
            <w:r>
              <w:rPr>
                <w:color w:val="222222"/>
                <w:sz w:val="17"/>
              </w:rPr>
              <w:t>Under 210</w:t>
            </w:r>
          </w:p>
        </w:tc>
        <w:tc>
          <w:tcPr>
            <w:tcW w:type="dxa" w:w="3168"/>
          </w:tcPr>
          <w:p>
            <w:pPr>
              <w:spacing w:after="40"/>
            </w:pPr>
            <w:r/>
            <w:r>
              <w:rPr>
                <w:color w:val="222222"/>
                <w:sz w:val="17"/>
              </w:rPr>
              <w:t>Open only, 2 hours, 3 days</w:t>
            </w:r>
          </w:p>
        </w:tc>
        <w:tc>
          <w:tcPr>
            <w:tcW w:type="dxa" w:w="1296"/>
          </w:tcPr>
          <w:p>
            <w:pPr>
              <w:spacing w:after="40"/>
            </w:pPr>
            <w:r/>
            <w:r>
              <w:rPr>
                <w:color w:val="222222"/>
                <w:sz w:val="17"/>
              </w:rPr>
              <w:t>6</w:t>
            </w:r>
          </w:p>
        </w:tc>
        <w:tc>
          <w:tcPr>
            <w:tcW w:type="dxa" w:w="1296"/>
          </w:tcPr>
          <w:p>
            <w:pPr>
              <w:spacing w:after="40"/>
            </w:pPr>
            <w:r/>
            <w:r>
              <w:rPr>
                <w:color w:val="222222"/>
                <w:sz w:val="17"/>
              </w:rPr>
              <w:t>1 part time</w:t>
            </w:r>
          </w:p>
        </w:tc>
        <w:tc>
          <w:tcPr>
            <w:tcW w:type="dxa" w:w="864"/>
          </w:tcPr>
          <w:p>
            <w:pPr>
              <w:spacing w:after="40"/>
            </w:pPr>
            <w:r/>
            <w:r>
              <w:rPr>
                <w:color w:val="222222"/>
                <w:sz w:val="17"/>
              </w:rPr>
              <w:t>18</w:t>
            </w:r>
          </w:p>
        </w:tc>
      </w:tr>
    </w:tbl>
    <w:p>
      <w:pPr>
        <w:spacing w:after="40"/>
      </w:pPr>
    </w:p>
    <w:p>
      <w:r>
        <w:rPr>
          <w:color w:val="222222"/>
        </w:rPr>
        <w:t>The break at 210 falls in a natural gap in the data. The low band clusters between 181 and 208 daily visits. The mid band begins at 212. No studio sits awkwardly on the threshold, which makes the line straightforward to defend.</w:t>
      </w:r>
    </w:p>
    <w:p>
      <w:pPr>
        <w:spacing w:before="260" w:after="80"/>
      </w:pPr>
      <w:r>
        <w:rPr>
          <w:b/>
          <w:color w:val="222222"/>
          <w:sz w:val="20"/>
        </w:rPr>
        <w:t>WHAT IT TOTALS</w:t>
      </w:r>
    </w:p>
    <w:tbl>
      <w:tblPr>
        <w:tblStyle w:val="TableGrid"/>
        <w:tblW w:type="auto" w:w="0"/>
        <w:jc w:val="center"/>
        <w:tblLook w:firstColumn="1" w:firstRow="1" w:lastColumn="0" w:lastRow="0" w:noHBand="0" w:noVBand="1" w:val="04A0"/>
      </w:tblPr>
      <w:tblGrid>
        <w:gridCol w:w="2412"/>
        <w:gridCol w:w="2412"/>
        <w:gridCol w:w="2412"/>
        <w:gridCol w:w="2412"/>
      </w:tblGrid>
      <w:tr>
        <w:tc>
          <w:tcPr>
            <w:tcW w:type="dxa" w:w="2592"/>
            <w:shd w:val="clear" w:color="auto" w:fill="F2F2F2"/>
          </w:tcPr>
          <w:p>
            <w:pPr>
              <w:spacing w:after="40"/>
            </w:pPr>
            <w:r/>
            <w:r>
              <w:rPr>
                <w:b/>
                <w:color w:val="222222"/>
                <w:sz w:val="17"/>
              </w:rPr>
              <w:t>Measure</w:t>
            </w:r>
          </w:p>
        </w:tc>
        <w:tc>
          <w:tcPr>
            <w:tcW w:type="dxa" w:w="2016"/>
            <w:shd w:val="clear" w:color="auto" w:fill="F2F2F2"/>
          </w:tcPr>
          <w:p>
            <w:pPr>
              <w:spacing w:after="40"/>
            </w:pPr>
            <w:r/>
            <w:r>
              <w:rPr>
                <w:b/>
                <w:color w:val="222222"/>
                <w:sz w:val="17"/>
              </w:rPr>
              <w:t>Recommended model</w:t>
            </w:r>
          </w:p>
        </w:tc>
        <w:tc>
          <w:tcPr>
            <w:tcW w:type="dxa" w:w="2160"/>
            <w:shd w:val="clear" w:color="auto" w:fill="F2F2F2"/>
          </w:tcPr>
          <w:p>
            <w:pPr>
              <w:spacing w:after="40"/>
            </w:pPr>
            <w:r/>
            <w:r>
              <w:rPr>
                <w:b/>
                <w:color w:val="222222"/>
                <w:sz w:val="17"/>
              </w:rPr>
              <w:t>Upper bound, flat 7 days</w:t>
            </w:r>
          </w:p>
        </w:tc>
        <w:tc>
          <w:tcPr>
            <w:tcW w:type="dxa" w:w="1584"/>
            <w:shd w:val="clear" w:color="auto" w:fill="F2F2F2"/>
          </w:tcPr>
          <w:p>
            <w:pPr>
              <w:spacing w:after="40"/>
            </w:pPr>
            <w:r/>
            <w:r>
              <w:rPr>
                <w:b/>
                <w:color w:val="222222"/>
                <w:sz w:val="17"/>
              </w:rPr>
              <w:t>Reduction</w:t>
            </w:r>
          </w:p>
        </w:tc>
      </w:tr>
      <w:tr>
        <w:tc>
          <w:tcPr>
            <w:tcW w:type="dxa" w:w="2592"/>
          </w:tcPr>
          <w:p>
            <w:pPr>
              <w:spacing w:after="40"/>
            </w:pPr>
            <w:r/>
            <w:r>
              <w:rPr>
                <w:color w:val="222222"/>
                <w:sz w:val="17"/>
              </w:rPr>
              <w:t>Hours per week</w:t>
            </w:r>
          </w:p>
        </w:tc>
        <w:tc>
          <w:tcPr>
            <w:tcW w:type="dxa" w:w="2016"/>
          </w:tcPr>
          <w:p>
            <w:pPr>
              <w:spacing w:after="40"/>
            </w:pPr>
            <w:r/>
            <w:r>
              <w:rPr>
                <w:color w:val="222222"/>
                <w:sz w:val="17"/>
              </w:rPr>
              <w:t>1,193</w:t>
            </w:r>
          </w:p>
        </w:tc>
        <w:tc>
          <w:tcPr>
            <w:tcW w:type="dxa" w:w="2160"/>
          </w:tcPr>
          <w:p>
            <w:pPr>
              <w:spacing w:after="40"/>
            </w:pPr>
            <w:r/>
            <w:r>
              <w:rPr>
                <w:color w:val="222222"/>
                <w:sz w:val="17"/>
              </w:rPr>
              <w:t>1,925</w:t>
            </w:r>
          </w:p>
        </w:tc>
        <w:tc>
          <w:tcPr>
            <w:tcW w:type="dxa" w:w="1584"/>
          </w:tcPr>
          <w:p>
            <w:pPr>
              <w:spacing w:after="40"/>
            </w:pPr>
            <w:r/>
            <w:r>
              <w:rPr>
                <w:color w:val="222222"/>
                <w:sz w:val="17"/>
              </w:rPr>
              <w:t>732</w:t>
            </w:r>
          </w:p>
        </w:tc>
      </w:tr>
      <w:tr>
        <w:tc>
          <w:tcPr>
            <w:tcW w:type="dxa" w:w="2592"/>
          </w:tcPr>
          <w:p>
            <w:pPr>
              <w:spacing w:after="40"/>
            </w:pPr>
            <w:r/>
            <w:r>
              <w:rPr>
                <w:color w:val="222222"/>
                <w:sz w:val="17"/>
              </w:rPr>
              <w:t>Hours per year</w:t>
            </w:r>
          </w:p>
        </w:tc>
        <w:tc>
          <w:tcPr>
            <w:tcW w:type="dxa" w:w="2016"/>
          </w:tcPr>
          <w:p>
            <w:pPr>
              <w:spacing w:after="40"/>
            </w:pPr>
            <w:r/>
            <w:r>
              <w:rPr>
                <w:color w:val="222222"/>
                <w:sz w:val="17"/>
              </w:rPr>
              <w:t>62,036</w:t>
            </w:r>
          </w:p>
        </w:tc>
        <w:tc>
          <w:tcPr>
            <w:tcW w:type="dxa" w:w="2160"/>
          </w:tcPr>
          <w:p>
            <w:pPr>
              <w:spacing w:after="40"/>
            </w:pPr>
            <w:r/>
            <w:r>
              <w:rPr>
                <w:color w:val="222222"/>
                <w:sz w:val="17"/>
              </w:rPr>
              <w:t>100,100</w:t>
            </w:r>
          </w:p>
        </w:tc>
        <w:tc>
          <w:tcPr>
            <w:tcW w:type="dxa" w:w="1584"/>
          </w:tcPr>
          <w:p>
            <w:pPr>
              <w:spacing w:after="40"/>
            </w:pPr>
            <w:r/>
            <w:r>
              <w:rPr>
                <w:color w:val="222222"/>
                <w:sz w:val="17"/>
              </w:rPr>
              <w:t>38,064</w:t>
            </w:r>
          </w:p>
        </w:tc>
      </w:tr>
      <w:tr>
        <w:tc>
          <w:tcPr>
            <w:tcW w:type="dxa" w:w="2592"/>
          </w:tcPr>
          <w:p>
            <w:pPr>
              <w:spacing w:after="40"/>
            </w:pPr>
            <w:r/>
            <w:r>
              <w:rPr>
                <w:color w:val="222222"/>
                <w:sz w:val="17"/>
              </w:rPr>
              <w:t>Part time roles</w:t>
            </w:r>
          </w:p>
        </w:tc>
        <w:tc>
          <w:tcPr>
            <w:tcW w:type="dxa" w:w="2016"/>
          </w:tcPr>
          <w:p>
            <w:pPr>
              <w:spacing w:after="40"/>
            </w:pPr>
            <w:r/>
            <w:r>
              <w:rPr>
                <w:color w:val="222222"/>
                <w:sz w:val="17"/>
              </w:rPr>
              <w:t>92</w:t>
            </w:r>
          </w:p>
        </w:tc>
        <w:tc>
          <w:tcPr>
            <w:tcW w:type="dxa" w:w="2160"/>
          </w:tcPr>
          <w:p>
            <w:pPr>
              <w:spacing w:after="40"/>
            </w:pPr>
            <w:r/>
            <w:r>
              <w:rPr>
                <w:color w:val="222222"/>
                <w:sz w:val="17"/>
              </w:rPr>
              <w:t>110</w:t>
            </w:r>
          </w:p>
        </w:tc>
        <w:tc>
          <w:tcPr>
            <w:tcW w:type="dxa" w:w="1584"/>
          </w:tcPr>
          <w:p>
            <w:pPr>
              <w:spacing w:after="40"/>
            </w:pPr>
            <w:r/>
            <w:r>
              <w:rPr>
                <w:color w:val="222222"/>
                <w:sz w:val="17"/>
              </w:rPr>
              <w:t>18</w:t>
            </w:r>
          </w:p>
        </w:tc>
      </w:tr>
      <w:tr>
        <w:tc>
          <w:tcPr>
            <w:tcW w:type="dxa" w:w="2592"/>
          </w:tcPr>
          <w:p>
            <w:pPr>
              <w:spacing w:after="40"/>
            </w:pPr>
            <w:r/>
            <w:r>
              <w:rPr>
                <w:color w:val="222222"/>
                <w:sz w:val="17"/>
              </w:rPr>
              <w:t>Percent below upper bound</w:t>
            </w:r>
          </w:p>
        </w:tc>
        <w:tc>
          <w:tcPr>
            <w:tcW w:type="dxa" w:w="2016"/>
          </w:tcPr>
          <w:p>
            <w:pPr>
              <w:spacing w:after="40"/>
            </w:pPr>
            <w:r/>
            <w:r>
              <w:rPr>
                <w:color w:val="222222"/>
                <w:sz w:val="17"/>
              </w:rPr>
              <w:t>38.0 percent</w:t>
            </w:r>
          </w:p>
        </w:tc>
        <w:tc>
          <w:tcPr>
            <w:tcW w:type="dxa" w:w="2160"/>
          </w:tcPr>
          <w:p>
            <w:pPr>
              <w:spacing w:after="40"/>
            </w:pPr>
            <w:r/>
            <w:r>
              <w:rPr>
                <w:color w:val="222222"/>
                <w:sz w:val="17"/>
              </w:rPr>
            </w:r>
          </w:p>
        </w:tc>
        <w:tc>
          <w:tcPr>
            <w:tcW w:type="dxa" w:w="1584"/>
          </w:tcPr>
          <w:p>
            <w:pPr>
              <w:spacing w:after="40"/>
            </w:pPr>
            <w:r/>
            <w:r>
              <w:rPr>
                <w:color w:val="222222"/>
                <w:sz w:val="17"/>
              </w:rPr>
            </w:r>
          </w:p>
        </w:tc>
      </w:tr>
    </w:tbl>
    <w:p>
      <w:pPr>
        <w:spacing w:after="40"/>
      </w:pPr>
    </w:p>
    <w:p>
      <w:r>
        <w:rPr>
          <w:color w:val="222222"/>
        </w:rPr>
        <w:t>The upper bound applies open and close coverage seven days a week at every flagged studio. It is carried here as a ceiling for comparison, not as a recommendation. The recommended model sits 38 percent below it.</w:t>
      </w:r>
    </w:p>
    <w:p>
      <w:pPr>
        <w:spacing w:before="260" w:after="80"/>
      </w:pPr>
      <w:r>
        <w:rPr>
          <w:b/>
          <w:color w:val="222222"/>
          <w:sz w:val="20"/>
        </w:rPr>
        <w:t>THE POPULATION</w:t>
      </w:r>
    </w:p>
    <w:tbl>
      <w:tblPr>
        <w:tblStyle w:val="TableGrid"/>
        <w:tblW w:type="auto" w:w="0"/>
        <w:jc w:val="center"/>
        <w:tblLook w:firstColumn="1" w:firstRow="1" w:lastColumn="0" w:lastRow="0" w:noHBand="0" w:noVBand="1" w:val="04A0"/>
      </w:tblPr>
      <w:tblGrid>
        <w:gridCol w:w="4824"/>
        <w:gridCol w:w="4824"/>
      </w:tblGrid>
      <w:tr>
        <w:tc>
          <w:tcPr>
            <w:tcW w:type="dxa" w:w="3744"/>
            <w:shd w:val="clear" w:color="auto" w:fill="F2F2F2"/>
          </w:tcPr>
          <w:p>
            <w:pPr>
              <w:spacing w:after="40"/>
            </w:pPr>
            <w:r/>
            <w:r>
              <w:rPr>
                <w:b/>
                <w:color w:val="222222"/>
                <w:sz w:val="17"/>
              </w:rPr>
              <w:t>Measure</w:t>
            </w:r>
          </w:p>
        </w:tc>
        <w:tc>
          <w:tcPr>
            <w:tcW w:type="dxa" w:w="3456"/>
            <w:shd w:val="clear" w:color="auto" w:fill="F2F2F2"/>
          </w:tcPr>
          <w:p>
            <w:pPr>
              <w:spacing w:after="40"/>
            </w:pPr>
            <w:r/>
            <w:r>
              <w:rPr>
                <w:b/>
                <w:color w:val="222222"/>
                <w:sz w:val="17"/>
              </w:rPr>
              <w:t>Value</w:t>
            </w:r>
          </w:p>
        </w:tc>
      </w:tr>
      <w:tr>
        <w:tc>
          <w:tcPr>
            <w:tcW w:type="dxa" w:w="3744"/>
          </w:tcPr>
          <w:p>
            <w:pPr>
              <w:spacing w:after="40"/>
            </w:pPr>
            <w:r/>
            <w:r>
              <w:rPr>
                <w:color w:val="222222"/>
                <w:sz w:val="17"/>
              </w:rPr>
              <w:t>Studios flagged</w:t>
            </w:r>
          </w:p>
        </w:tc>
        <w:tc>
          <w:tcPr>
            <w:tcW w:type="dxa" w:w="3456"/>
          </w:tcPr>
          <w:p>
            <w:pPr>
              <w:spacing w:after="40"/>
            </w:pPr>
            <w:r/>
            <w:r>
              <w:rPr>
                <w:color w:val="222222"/>
                <w:sz w:val="17"/>
              </w:rPr>
              <w:t>55</w:t>
            </w:r>
          </w:p>
        </w:tc>
      </w:tr>
      <w:tr>
        <w:tc>
          <w:tcPr>
            <w:tcW w:type="dxa" w:w="3744"/>
          </w:tcPr>
          <w:p>
            <w:pPr>
              <w:spacing w:after="40"/>
            </w:pPr>
            <w:r/>
            <w:r>
              <w:rPr>
                <w:color w:val="222222"/>
                <w:sz w:val="17"/>
              </w:rPr>
              <w:t>Tier 1</w:t>
            </w:r>
          </w:p>
        </w:tc>
        <w:tc>
          <w:tcPr>
            <w:tcW w:type="dxa" w:w="3456"/>
          </w:tcPr>
          <w:p>
            <w:pPr>
              <w:spacing w:after="40"/>
            </w:pPr>
            <w:r/>
            <w:r>
              <w:rPr>
                <w:color w:val="222222"/>
                <w:sz w:val="17"/>
              </w:rPr>
              <w:t>16</w:t>
            </w:r>
          </w:p>
        </w:tc>
      </w:tr>
      <w:tr>
        <w:tc>
          <w:tcPr>
            <w:tcW w:type="dxa" w:w="3744"/>
          </w:tcPr>
          <w:p>
            <w:pPr>
              <w:spacing w:after="40"/>
            </w:pPr>
            <w:r/>
            <w:r>
              <w:rPr>
                <w:color w:val="222222"/>
                <w:sz w:val="17"/>
              </w:rPr>
              <w:t>Tier 2</w:t>
            </w:r>
          </w:p>
        </w:tc>
        <w:tc>
          <w:tcPr>
            <w:tcW w:type="dxa" w:w="3456"/>
          </w:tcPr>
          <w:p>
            <w:pPr>
              <w:spacing w:after="40"/>
            </w:pPr>
            <w:r/>
            <w:r>
              <w:rPr>
                <w:color w:val="222222"/>
                <w:sz w:val="17"/>
              </w:rPr>
              <w:t>39</w:t>
            </w:r>
          </w:p>
        </w:tc>
      </w:tr>
      <w:tr>
        <w:tc>
          <w:tcPr>
            <w:tcW w:type="dxa" w:w="3744"/>
          </w:tcPr>
          <w:p>
            <w:pPr>
              <w:spacing w:after="40"/>
            </w:pPr>
            <w:r/>
            <w:r>
              <w:rPr>
                <w:color w:val="222222"/>
                <w:sz w:val="17"/>
              </w:rPr>
              <w:t>Tier 3 through Tier 5</w:t>
            </w:r>
          </w:p>
        </w:tc>
        <w:tc>
          <w:tcPr>
            <w:tcW w:type="dxa" w:w="3456"/>
          </w:tcPr>
          <w:p>
            <w:pPr>
              <w:spacing w:after="40"/>
            </w:pPr>
            <w:r/>
            <w:r>
              <w:rPr>
                <w:color w:val="222222"/>
                <w:sz w:val="17"/>
              </w:rPr>
              <w:t>0</w:t>
            </w:r>
          </w:p>
        </w:tc>
      </w:tr>
      <w:tr>
        <w:tc>
          <w:tcPr>
            <w:tcW w:type="dxa" w:w="3744"/>
          </w:tcPr>
          <w:p>
            <w:pPr>
              <w:spacing w:after="40"/>
            </w:pPr>
            <w:r/>
            <w:r>
              <w:rPr>
                <w:color w:val="222222"/>
                <w:sz w:val="17"/>
              </w:rPr>
              <w:t>Daily attendance range</w:t>
            </w:r>
          </w:p>
        </w:tc>
        <w:tc>
          <w:tcPr>
            <w:tcW w:type="dxa" w:w="3456"/>
          </w:tcPr>
          <w:p>
            <w:pPr>
              <w:spacing w:after="40"/>
            </w:pPr>
            <w:r/>
            <w:r>
              <w:rPr>
                <w:color w:val="222222"/>
                <w:sz w:val="17"/>
              </w:rPr>
              <w:t>180.7 to 401.9</w:t>
            </w:r>
          </w:p>
        </w:tc>
      </w:tr>
      <w:tr>
        <w:tc>
          <w:tcPr>
            <w:tcW w:type="dxa" w:w="3744"/>
          </w:tcPr>
          <w:p>
            <w:pPr>
              <w:spacing w:after="40"/>
            </w:pPr>
            <w:r/>
            <w:r>
              <w:rPr>
                <w:color w:val="222222"/>
                <w:sz w:val="17"/>
              </w:rPr>
              <w:t>Median daily attendance</w:t>
            </w:r>
          </w:p>
        </w:tc>
        <w:tc>
          <w:tcPr>
            <w:tcW w:type="dxa" w:w="3456"/>
          </w:tcPr>
          <w:p>
            <w:pPr>
              <w:spacing w:after="40"/>
            </w:pPr>
            <w:r/>
            <w:r>
              <w:rPr>
                <w:color w:val="222222"/>
                <w:sz w:val="17"/>
              </w:rPr>
              <w:t>226.7</w:t>
            </w:r>
          </w:p>
        </w:tc>
      </w:tr>
      <w:tr>
        <w:tc>
          <w:tcPr>
            <w:tcW w:type="dxa" w:w="3744"/>
          </w:tcPr>
          <w:p>
            <w:pPr>
              <w:spacing w:after="40"/>
            </w:pPr>
            <w:r/>
            <w:r>
              <w:rPr>
                <w:color w:val="222222"/>
                <w:sz w:val="17"/>
              </w:rPr>
              <w:t>Support team range today</w:t>
            </w:r>
          </w:p>
        </w:tc>
        <w:tc>
          <w:tcPr>
            <w:tcW w:type="dxa" w:w="3456"/>
          </w:tcPr>
          <w:p>
            <w:pPr>
              <w:spacing w:after="40"/>
            </w:pPr>
            <w:r/>
            <w:r>
              <w:rPr>
                <w:color w:val="222222"/>
                <w:sz w:val="17"/>
              </w:rPr>
              <w:t>1 to 25 members</w:t>
            </w:r>
          </w:p>
        </w:tc>
      </w:tr>
      <w:tr>
        <w:tc>
          <w:tcPr>
            <w:tcW w:type="dxa" w:w="3744"/>
          </w:tcPr>
          <w:p>
            <w:pPr>
              <w:spacing w:after="40"/>
            </w:pPr>
            <w:r/>
            <w:r>
              <w:rPr>
                <w:color w:val="222222"/>
                <w:sz w:val="17"/>
              </w:rPr>
              <w:t>Median support team today</w:t>
            </w:r>
          </w:p>
        </w:tc>
        <w:tc>
          <w:tcPr>
            <w:tcW w:type="dxa" w:w="3456"/>
          </w:tcPr>
          <w:p>
            <w:pPr>
              <w:spacing w:after="40"/>
            </w:pPr>
            <w:r/>
            <w:r>
              <w:rPr>
                <w:color w:val="222222"/>
                <w:sz w:val="17"/>
              </w:rPr>
              <w:t>14 members</w:t>
            </w:r>
          </w:p>
        </w:tc>
      </w:tr>
      <w:tr>
        <w:tc>
          <w:tcPr>
            <w:tcW w:type="dxa" w:w="3744"/>
          </w:tcPr>
          <w:p>
            <w:pPr>
              <w:spacing w:after="40"/>
            </w:pPr>
            <w:r/>
            <w:r>
              <w:rPr>
                <w:color w:val="222222"/>
                <w:sz w:val="17"/>
              </w:rPr>
              <w:t>Median gap to the standard</w:t>
            </w:r>
          </w:p>
        </w:tc>
        <w:tc>
          <w:tcPr>
            <w:tcW w:type="dxa" w:w="3456"/>
          </w:tcPr>
          <w:p>
            <w:pPr>
              <w:spacing w:after="40"/>
            </w:pPr>
            <w:r/>
            <w:r>
              <w:rPr>
                <w:color w:val="222222"/>
                <w:sz w:val="17"/>
              </w:rPr>
              <w:t>25 members</w:t>
            </w:r>
          </w:p>
        </w:tc>
      </w:tr>
      <w:tr>
        <w:tc>
          <w:tcPr>
            <w:tcW w:type="dxa" w:w="3744"/>
          </w:tcPr>
          <w:p>
            <w:pPr>
              <w:spacing w:after="40"/>
            </w:pPr>
            <w:r/>
            <w:r>
              <w:rPr>
                <w:color w:val="222222"/>
                <w:sz w:val="17"/>
              </w:rPr>
              <w:t>Also carry a wage gap</w:t>
            </w:r>
          </w:p>
        </w:tc>
        <w:tc>
          <w:tcPr>
            <w:tcW w:type="dxa" w:w="3456"/>
          </w:tcPr>
          <w:p>
            <w:pPr>
              <w:spacing w:after="40"/>
            </w:pPr>
            <w:r/>
            <w:r>
              <w:rPr>
                <w:color w:val="222222"/>
                <w:sz w:val="17"/>
              </w:rPr>
              <w:t>12</w:t>
            </w:r>
          </w:p>
        </w:tc>
      </w:tr>
      <w:tr>
        <w:tc>
          <w:tcPr>
            <w:tcW w:type="dxa" w:w="3744"/>
          </w:tcPr>
          <w:p>
            <w:pPr>
              <w:spacing w:after="40"/>
            </w:pPr>
            <w:r/>
            <w:r>
              <w:rPr>
                <w:color w:val="222222"/>
                <w:sz w:val="17"/>
              </w:rPr>
              <w:t>Also flagged for MatFresher</w:t>
            </w:r>
          </w:p>
        </w:tc>
        <w:tc>
          <w:tcPr>
            <w:tcW w:type="dxa" w:w="3456"/>
          </w:tcPr>
          <w:p>
            <w:pPr>
              <w:spacing w:after="40"/>
            </w:pPr>
            <w:r/>
            <w:r>
              <w:rPr>
                <w:color w:val="222222"/>
                <w:sz w:val="17"/>
              </w:rPr>
              <w:t>10</w:t>
            </w:r>
          </w:p>
        </w:tc>
      </w:tr>
    </w:tbl>
    <w:p>
      <w:pPr>
        <w:spacing w:after="40"/>
      </w:pPr>
    </w:p>
    <w:p>
      <w:r>
        <w:rPr>
          <w:color w:val="222222"/>
        </w:rPr>
        <w:t>Every flagged studio sits in Tier 1 or Tier 2. That is the expected result. Dedicated cleaners answer a volume problem, and volume is what defines the upper tiers.</w:t>
      </w:r>
    </w:p>
    <w:p>
      <w:pPr>
        <w:spacing w:before="260" w:after="80"/>
      </w:pPr>
      <w:r>
        <w:rPr>
          <w:b/>
          <w:color w:val="222222"/>
          <w:sz w:val="20"/>
        </w:rPr>
        <w:t>THE HIGH BAND</w:t>
      </w:r>
    </w:p>
    <w:p>
      <w:r>
        <w:rPr>
          <w:color w:val="222222"/>
        </w:rPr>
        <w:t>The 16 studios carrying full seven day coverage, ordered by traffic.</w:t>
      </w:r>
    </w:p>
    <w:tbl>
      <w:tblPr>
        <w:tblStyle w:val="TableGrid"/>
        <w:tblW w:type="auto" w:w="0"/>
        <w:jc w:val="center"/>
        <w:tblLook w:firstColumn="1" w:firstRow="1" w:lastColumn="0" w:lastRow="0" w:noHBand="0" w:noVBand="1" w:val="04A0"/>
      </w:tblPr>
      <w:tblGrid>
        <w:gridCol w:w="1930"/>
        <w:gridCol w:w="1930"/>
        <w:gridCol w:w="1930"/>
        <w:gridCol w:w="1930"/>
        <w:gridCol w:w="1930"/>
      </w:tblGrid>
      <w:tr>
        <w:tc>
          <w:tcPr>
            <w:tcW w:type="dxa" w:w="2736"/>
            <w:shd w:val="clear" w:color="auto" w:fill="F2F2F2"/>
          </w:tcPr>
          <w:p>
            <w:pPr>
              <w:spacing w:after="40"/>
            </w:pPr>
            <w:r/>
            <w:r>
              <w:rPr>
                <w:b/>
                <w:color w:val="222222"/>
                <w:sz w:val="17"/>
              </w:rPr>
              <w:t>Studio</w:t>
            </w:r>
          </w:p>
        </w:tc>
        <w:tc>
          <w:tcPr>
            <w:tcW w:type="dxa" w:w="864"/>
            <w:shd w:val="clear" w:color="auto" w:fill="F2F2F2"/>
          </w:tcPr>
          <w:p>
            <w:pPr>
              <w:spacing w:after="40"/>
            </w:pPr>
            <w:r/>
            <w:r>
              <w:rPr>
                <w:b/>
                <w:color w:val="222222"/>
                <w:sz w:val="17"/>
              </w:rPr>
              <w:t>Tier</w:t>
            </w:r>
          </w:p>
        </w:tc>
        <w:tc>
          <w:tcPr>
            <w:tcW w:type="dxa" w:w="1440"/>
            <w:shd w:val="clear" w:color="auto" w:fill="F2F2F2"/>
          </w:tcPr>
          <w:p>
            <w:pPr>
              <w:spacing w:after="40"/>
            </w:pPr>
            <w:r/>
            <w:r>
              <w:rPr>
                <w:b/>
                <w:color w:val="222222"/>
                <w:sz w:val="17"/>
              </w:rPr>
              <w:t>Daily visits</w:t>
            </w:r>
          </w:p>
        </w:tc>
        <w:tc>
          <w:tcPr>
            <w:tcW w:type="dxa" w:w="1872"/>
            <w:shd w:val="clear" w:color="auto" w:fill="F2F2F2"/>
          </w:tcPr>
          <w:p>
            <w:pPr>
              <w:spacing w:after="40"/>
            </w:pPr>
            <w:r/>
            <w:r>
              <w:rPr>
                <w:b/>
                <w:color w:val="222222"/>
                <w:sz w:val="17"/>
              </w:rPr>
              <w:t>Support team today</w:t>
            </w:r>
          </w:p>
        </w:tc>
        <w:tc>
          <w:tcPr>
            <w:tcW w:type="dxa" w:w="1296"/>
            <w:shd w:val="clear" w:color="auto" w:fill="F2F2F2"/>
          </w:tcPr>
          <w:p>
            <w:pPr>
              <w:spacing w:after="40"/>
            </w:pPr>
            <w:r/>
            <w:r>
              <w:rPr>
                <w:b/>
                <w:color w:val="222222"/>
                <w:sz w:val="17"/>
              </w:rPr>
              <w:t>Gap to 39</w:t>
            </w:r>
          </w:p>
        </w:tc>
      </w:tr>
      <w:tr>
        <w:tc>
          <w:tcPr>
            <w:tcW w:type="dxa" w:w="2736"/>
          </w:tcPr>
          <w:p>
            <w:pPr>
              <w:spacing w:after="40"/>
            </w:pPr>
            <w:r/>
            <w:r>
              <w:rPr>
                <w:color w:val="222222"/>
                <w:sz w:val="17"/>
              </w:rPr>
              <w:t>Huntington Beach</w:t>
            </w:r>
          </w:p>
        </w:tc>
        <w:tc>
          <w:tcPr>
            <w:tcW w:type="dxa" w:w="864"/>
          </w:tcPr>
          <w:p>
            <w:pPr>
              <w:spacing w:after="40"/>
            </w:pPr>
            <w:r/>
            <w:r>
              <w:rPr>
                <w:color w:val="222222"/>
                <w:sz w:val="17"/>
              </w:rPr>
              <w:t>T1</w:t>
            </w:r>
          </w:p>
        </w:tc>
        <w:tc>
          <w:tcPr>
            <w:tcW w:type="dxa" w:w="1440"/>
          </w:tcPr>
          <w:p>
            <w:pPr>
              <w:spacing w:after="40"/>
            </w:pPr>
            <w:r/>
            <w:r>
              <w:rPr>
                <w:color w:val="222222"/>
                <w:sz w:val="17"/>
              </w:rPr>
              <w:t>401.9</w:t>
            </w:r>
          </w:p>
        </w:tc>
        <w:tc>
          <w:tcPr>
            <w:tcW w:type="dxa" w:w="1872"/>
          </w:tcPr>
          <w:p>
            <w:pPr>
              <w:spacing w:after="40"/>
            </w:pPr>
            <w:r/>
            <w:r>
              <w:rPr>
                <w:color w:val="222222"/>
                <w:sz w:val="17"/>
              </w:rPr>
              <w:t>13</w:t>
            </w:r>
          </w:p>
        </w:tc>
        <w:tc>
          <w:tcPr>
            <w:tcW w:type="dxa" w:w="1296"/>
          </w:tcPr>
          <w:p>
            <w:pPr>
              <w:spacing w:after="40"/>
            </w:pPr>
            <w:r/>
            <w:r>
              <w:rPr>
                <w:color w:val="222222"/>
                <w:sz w:val="17"/>
              </w:rPr>
              <w:t>26</w:t>
            </w:r>
          </w:p>
        </w:tc>
      </w:tr>
      <w:tr>
        <w:tc>
          <w:tcPr>
            <w:tcW w:type="dxa" w:w="2736"/>
          </w:tcPr>
          <w:p>
            <w:pPr>
              <w:spacing w:after="40"/>
            </w:pPr>
            <w:r/>
            <w:r>
              <w:rPr>
                <w:color w:val="222222"/>
                <w:sz w:val="17"/>
              </w:rPr>
              <w:t>Brea</w:t>
            </w:r>
          </w:p>
        </w:tc>
        <w:tc>
          <w:tcPr>
            <w:tcW w:type="dxa" w:w="864"/>
          </w:tcPr>
          <w:p>
            <w:pPr>
              <w:spacing w:after="40"/>
            </w:pPr>
            <w:r/>
            <w:r>
              <w:rPr>
                <w:color w:val="222222"/>
                <w:sz w:val="17"/>
              </w:rPr>
              <w:t>T1</w:t>
            </w:r>
          </w:p>
        </w:tc>
        <w:tc>
          <w:tcPr>
            <w:tcW w:type="dxa" w:w="1440"/>
          </w:tcPr>
          <w:p>
            <w:pPr>
              <w:spacing w:after="40"/>
            </w:pPr>
            <w:r/>
            <w:r>
              <w:rPr>
                <w:color w:val="222222"/>
                <w:sz w:val="17"/>
              </w:rPr>
              <w:t>341.9</w:t>
            </w:r>
          </w:p>
        </w:tc>
        <w:tc>
          <w:tcPr>
            <w:tcW w:type="dxa" w:w="1872"/>
          </w:tcPr>
          <w:p>
            <w:pPr>
              <w:spacing w:after="40"/>
            </w:pPr>
            <w:r/>
            <w:r>
              <w:rPr>
                <w:color w:val="222222"/>
                <w:sz w:val="17"/>
              </w:rPr>
              <w:t>17</w:t>
            </w:r>
          </w:p>
        </w:tc>
        <w:tc>
          <w:tcPr>
            <w:tcW w:type="dxa" w:w="1296"/>
          </w:tcPr>
          <w:p>
            <w:pPr>
              <w:spacing w:after="40"/>
            </w:pPr>
            <w:r/>
            <w:r>
              <w:rPr>
                <w:color w:val="222222"/>
                <w:sz w:val="17"/>
              </w:rPr>
              <w:t>22</w:t>
            </w:r>
          </w:p>
        </w:tc>
      </w:tr>
      <w:tr>
        <w:tc>
          <w:tcPr>
            <w:tcW w:type="dxa" w:w="2736"/>
          </w:tcPr>
          <w:p>
            <w:pPr>
              <w:spacing w:after="40"/>
            </w:pPr>
            <w:r/>
            <w:r>
              <w:rPr>
                <w:color w:val="222222"/>
                <w:sz w:val="17"/>
              </w:rPr>
              <w:t>Clarendon</w:t>
            </w:r>
          </w:p>
        </w:tc>
        <w:tc>
          <w:tcPr>
            <w:tcW w:type="dxa" w:w="864"/>
          </w:tcPr>
          <w:p>
            <w:pPr>
              <w:spacing w:after="40"/>
            </w:pPr>
            <w:r/>
            <w:r>
              <w:rPr>
                <w:color w:val="222222"/>
                <w:sz w:val="17"/>
              </w:rPr>
              <w:t>T1</w:t>
            </w:r>
          </w:p>
        </w:tc>
        <w:tc>
          <w:tcPr>
            <w:tcW w:type="dxa" w:w="1440"/>
          </w:tcPr>
          <w:p>
            <w:pPr>
              <w:spacing w:after="40"/>
            </w:pPr>
            <w:r/>
            <w:r>
              <w:rPr>
                <w:color w:val="222222"/>
                <w:sz w:val="17"/>
              </w:rPr>
              <w:t>339.1</w:t>
            </w:r>
          </w:p>
        </w:tc>
        <w:tc>
          <w:tcPr>
            <w:tcW w:type="dxa" w:w="1872"/>
          </w:tcPr>
          <w:p>
            <w:pPr>
              <w:spacing w:after="40"/>
            </w:pPr>
            <w:r/>
            <w:r>
              <w:rPr>
                <w:color w:val="222222"/>
                <w:sz w:val="17"/>
              </w:rPr>
              <w:t>22</w:t>
            </w:r>
          </w:p>
        </w:tc>
        <w:tc>
          <w:tcPr>
            <w:tcW w:type="dxa" w:w="1296"/>
          </w:tcPr>
          <w:p>
            <w:pPr>
              <w:spacing w:after="40"/>
            </w:pPr>
            <w:r/>
            <w:r>
              <w:rPr>
                <w:color w:val="222222"/>
                <w:sz w:val="17"/>
              </w:rPr>
              <w:t>17</w:t>
            </w:r>
          </w:p>
        </w:tc>
      </w:tr>
      <w:tr>
        <w:tc>
          <w:tcPr>
            <w:tcW w:type="dxa" w:w="2736"/>
          </w:tcPr>
          <w:p>
            <w:pPr>
              <w:spacing w:after="40"/>
            </w:pPr>
            <w:r/>
            <w:r>
              <w:rPr>
                <w:color w:val="222222"/>
                <w:sz w:val="17"/>
              </w:rPr>
              <w:t>Roscoe Village</w:t>
            </w:r>
          </w:p>
        </w:tc>
        <w:tc>
          <w:tcPr>
            <w:tcW w:type="dxa" w:w="864"/>
          </w:tcPr>
          <w:p>
            <w:pPr>
              <w:spacing w:after="40"/>
            </w:pPr>
            <w:r/>
            <w:r>
              <w:rPr>
                <w:color w:val="222222"/>
                <w:sz w:val="17"/>
              </w:rPr>
              <w:t>T1</w:t>
            </w:r>
          </w:p>
        </w:tc>
        <w:tc>
          <w:tcPr>
            <w:tcW w:type="dxa" w:w="1440"/>
          </w:tcPr>
          <w:p>
            <w:pPr>
              <w:spacing w:after="40"/>
            </w:pPr>
            <w:r/>
            <w:r>
              <w:rPr>
                <w:color w:val="222222"/>
                <w:sz w:val="17"/>
              </w:rPr>
              <w:t>334.6</w:t>
            </w:r>
          </w:p>
        </w:tc>
        <w:tc>
          <w:tcPr>
            <w:tcW w:type="dxa" w:w="1872"/>
          </w:tcPr>
          <w:p>
            <w:pPr>
              <w:spacing w:after="40"/>
            </w:pPr>
            <w:r/>
            <w:r>
              <w:rPr>
                <w:color w:val="222222"/>
                <w:sz w:val="17"/>
              </w:rPr>
              <w:t>20</w:t>
            </w:r>
          </w:p>
        </w:tc>
        <w:tc>
          <w:tcPr>
            <w:tcW w:type="dxa" w:w="1296"/>
          </w:tcPr>
          <w:p>
            <w:pPr>
              <w:spacing w:after="40"/>
            </w:pPr>
            <w:r/>
            <w:r>
              <w:rPr>
                <w:color w:val="222222"/>
                <w:sz w:val="17"/>
              </w:rPr>
              <w:t>19</w:t>
            </w:r>
          </w:p>
        </w:tc>
      </w:tr>
      <w:tr>
        <w:tc>
          <w:tcPr>
            <w:tcW w:type="dxa" w:w="2736"/>
          </w:tcPr>
          <w:p>
            <w:pPr>
              <w:spacing w:after="40"/>
            </w:pPr>
            <w:r/>
            <w:r>
              <w:rPr>
                <w:color w:val="222222"/>
                <w:sz w:val="17"/>
              </w:rPr>
              <w:t>Costa Mesa</w:t>
            </w:r>
          </w:p>
        </w:tc>
        <w:tc>
          <w:tcPr>
            <w:tcW w:type="dxa" w:w="864"/>
          </w:tcPr>
          <w:p>
            <w:pPr>
              <w:spacing w:after="40"/>
            </w:pPr>
            <w:r/>
            <w:r>
              <w:rPr>
                <w:color w:val="222222"/>
                <w:sz w:val="17"/>
              </w:rPr>
              <w:t>T1</w:t>
            </w:r>
          </w:p>
        </w:tc>
        <w:tc>
          <w:tcPr>
            <w:tcW w:type="dxa" w:w="1440"/>
          </w:tcPr>
          <w:p>
            <w:pPr>
              <w:spacing w:after="40"/>
            </w:pPr>
            <w:r/>
            <w:r>
              <w:rPr>
                <w:color w:val="222222"/>
                <w:sz w:val="17"/>
              </w:rPr>
              <w:t>334.3</w:t>
            </w:r>
          </w:p>
        </w:tc>
        <w:tc>
          <w:tcPr>
            <w:tcW w:type="dxa" w:w="1872"/>
          </w:tcPr>
          <w:p>
            <w:pPr>
              <w:spacing w:after="40"/>
            </w:pPr>
            <w:r/>
            <w:r>
              <w:rPr>
                <w:color w:val="222222"/>
                <w:sz w:val="17"/>
              </w:rPr>
              <w:t>18</w:t>
            </w:r>
          </w:p>
        </w:tc>
        <w:tc>
          <w:tcPr>
            <w:tcW w:type="dxa" w:w="1296"/>
          </w:tcPr>
          <w:p>
            <w:pPr>
              <w:spacing w:after="40"/>
            </w:pPr>
            <w:r/>
            <w:r>
              <w:rPr>
                <w:color w:val="222222"/>
                <w:sz w:val="17"/>
              </w:rPr>
              <w:t>21</w:t>
            </w:r>
          </w:p>
        </w:tc>
      </w:tr>
      <w:tr>
        <w:tc>
          <w:tcPr>
            <w:tcW w:type="dxa" w:w="2736"/>
          </w:tcPr>
          <w:p>
            <w:pPr>
              <w:spacing w:after="40"/>
            </w:pPr>
            <w:r/>
            <w:r>
              <w:rPr>
                <w:color w:val="222222"/>
                <w:sz w:val="17"/>
              </w:rPr>
              <w:t>Westlake Village</w:t>
            </w:r>
          </w:p>
        </w:tc>
        <w:tc>
          <w:tcPr>
            <w:tcW w:type="dxa" w:w="864"/>
          </w:tcPr>
          <w:p>
            <w:pPr>
              <w:spacing w:after="40"/>
            </w:pPr>
            <w:r/>
            <w:r>
              <w:rPr>
                <w:color w:val="222222"/>
                <w:sz w:val="17"/>
              </w:rPr>
              <w:t>T1</w:t>
            </w:r>
          </w:p>
        </w:tc>
        <w:tc>
          <w:tcPr>
            <w:tcW w:type="dxa" w:w="1440"/>
          </w:tcPr>
          <w:p>
            <w:pPr>
              <w:spacing w:after="40"/>
            </w:pPr>
            <w:r/>
            <w:r>
              <w:rPr>
                <w:color w:val="222222"/>
                <w:sz w:val="17"/>
              </w:rPr>
              <w:t>319.3</w:t>
            </w:r>
          </w:p>
        </w:tc>
        <w:tc>
          <w:tcPr>
            <w:tcW w:type="dxa" w:w="1872"/>
          </w:tcPr>
          <w:p>
            <w:pPr>
              <w:spacing w:after="40"/>
            </w:pPr>
            <w:r/>
            <w:r>
              <w:rPr>
                <w:color w:val="222222"/>
                <w:sz w:val="17"/>
              </w:rPr>
              <w:t>6</w:t>
            </w:r>
          </w:p>
        </w:tc>
        <w:tc>
          <w:tcPr>
            <w:tcW w:type="dxa" w:w="1296"/>
          </w:tcPr>
          <w:p>
            <w:pPr>
              <w:spacing w:after="40"/>
            </w:pPr>
            <w:r/>
            <w:r>
              <w:rPr>
                <w:color w:val="222222"/>
                <w:sz w:val="17"/>
              </w:rPr>
              <w:t>33</w:t>
            </w:r>
          </w:p>
        </w:tc>
      </w:tr>
      <w:tr>
        <w:tc>
          <w:tcPr>
            <w:tcW w:type="dxa" w:w="2736"/>
          </w:tcPr>
          <w:p>
            <w:pPr>
              <w:spacing w:after="40"/>
            </w:pPr>
            <w:r/>
            <w:r>
              <w:rPr>
                <w:color w:val="222222"/>
                <w:sz w:val="17"/>
              </w:rPr>
              <w:t>Cherry Creek</w:t>
            </w:r>
          </w:p>
        </w:tc>
        <w:tc>
          <w:tcPr>
            <w:tcW w:type="dxa" w:w="864"/>
          </w:tcPr>
          <w:p>
            <w:pPr>
              <w:spacing w:after="40"/>
            </w:pPr>
            <w:r/>
            <w:r>
              <w:rPr>
                <w:color w:val="222222"/>
                <w:sz w:val="17"/>
              </w:rPr>
              <w:t>T1</w:t>
            </w:r>
          </w:p>
        </w:tc>
        <w:tc>
          <w:tcPr>
            <w:tcW w:type="dxa" w:w="1440"/>
          </w:tcPr>
          <w:p>
            <w:pPr>
              <w:spacing w:after="40"/>
            </w:pPr>
            <w:r/>
            <w:r>
              <w:rPr>
                <w:color w:val="222222"/>
                <w:sz w:val="17"/>
              </w:rPr>
              <w:t>315.3</w:t>
            </w:r>
          </w:p>
        </w:tc>
        <w:tc>
          <w:tcPr>
            <w:tcW w:type="dxa" w:w="1872"/>
          </w:tcPr>
          <w:p>
            <w:pPr>
              <w:spacing w:after="40"/>
            </w:pPr>
            <w:r/>
            <w:r>
              <w:rPr>
                <w:color w:val="222222"/>
                <w:sz w:val="17"/>
              </w:rPr>
              <w:t>11</w:t>
            </w:r>
          </w:p>
        </w:tc>
        <w:tc>
          <w:tcPr>
            <w:tcW w:type="dxa" w:w="1296"/>
          </w:tcPr>
          <w:p>
            <w:pPr>
              <w:spacing w:after="40"/>
            </w:pPr>
            <w:r/>
            <w:r>
              <w:rPr>
                <w:color w:val="222222"/>
                <w:sz w:val="17"/>
              </w:rPr>
              <w:t>28</w:t>
            </w:r>
          </w:p>
        </w:tc>
      </w:tr>
      <w:tr>
        <w:tc>
          <w:tcPr>
            <w:tcW w:type="dxa" w:w="2736"/>
          </w:tcPr>
          <w:p>
            <w:pPr>
              <w:spacing w:after="40"/>
            </w:pPr>
            <w:r/>
            <w:r>
              <w:rPr>
                <w:color w:val="222222"/>
                <w:sz w:val="17"/>
              </w:rPr>
              <w:t>Woodbridge</w:t>
            </w:r>
          </w:p>
        </w:tc>
        <w:tc>
          <w:tcPr>
            <w:tcW w:type="dxa" w:w="864"/>
          </w:tcPr>
          <w:p>
            <w:pPr>
              <w:spacing w:after="40"/>
            </w:pPr>
            <w:r/>
            <w:r>
              <w:rPr>
                <w:color w:val="222222"/>
                <w:sz w:val="17"/>
              </w:rPr>
              <w:t>T1</w:t>
            </w:r>
          </w:p>
        </w:tc>
        <w:tc>
          <w:tcPr>
            <w:tcW w:type="dxa" w:w="1440"/>
          </w:tcPr>
          <w:p>
            <w:pPr>
              <w:spacing w:after="40"/>
            </w:pPr>
            <w:r/>
            <w:r>
              <w:rPr>
                <w:color w:val="222222"/>
                <w:sz w:val="17"/>
              </w:rPr>
              <w:t>305.9</w:t>
            </w:r>
          </w:p>
        </w:tc>
        <w:tc>
          <w:tcPr>
            <w:tcW w:type="dxa" w:w="1872"/>
          </w:tcPr>
          <w:p>
            <w:pPr>
              <w:spacing w:after="40"/>
            </w:pPr>
            <w:r/>
            <w:r>
              <w:rPr>
                <w:color w:val="222222"/>
                <w:sz w:val="17"/>
              </w:rPr>
              <w:t>17</w:t>
            </w:r>
          </w:p>
        </w:tc>
        <w:tc>
          <w:tcPr>
            <w:tcW w:type="dxa" w:w="1296"/>
          </w:tcPr>
          <w:p>
            <w:pPr>
              <w:spacing w:after="40"/>
            </w:pPr>
            <w:r/>
            <w:r>
              <w:rPr>
                <w:color w:val="222222"/>
                <w:sz w:val="17"/>
              </w:rPr>
              <w:t>22</w:t>
            </w:r>
          </w:p>
        </w:tc>
      </w:tr>
      <w:tr>
        <w:tc>
          <w:tcPr>
            <w:tcW w:type="dxa" w:w="2736"/>
          </w:tcPr>
          <w:p>
            <w:pPr>
              <w:spacing w:after="40"/>
            </w:pPr>
            <w:r/>
            <w:r>
              <w:rPr>
                <w:color w:val="222222"/>
                <w:sz w:val="17"/>
              </w:rPr>
              <w:t>La Mesa</w:t>
            </w:r>
          </w:p>
        </w:tc>
        <w:tc>
          <w:tcPr>
            <w:tcW w:type="dxa" w:w="864"/>
          </w:tcPr>
          <w:p>
            <w:pPr>
              <w:spacing w:after="40"/>
            </w:pPr>
            <w:r/>
            <w:r>
              <w:rPr>
                <w:color w:val="222222"/>
                <w:sz w:val="17"/>
              </w:rPr>
              <w:t>T1</w:t>
            </w:r>
          </w:p>
        </w:tc>
        <w:tc>
          <w:tcPr>
            <w:tcW w:type="dxa" w:w="1440"/>
          </w:tcPr>
          <w:p>
            <w:pPr>
              <w:spacing w:after="40"/>
            </w:pPr>
            <w:r/>
            <w:r>
              <w:rPr>
                <w:color w:val="222222"/>
                <w:sz w:val="17"/>
              </w:rPr>
              <w:t>290.5</w:t>
            </w:r>
          </w:p>
        </w:tc>
        <w:tc>
          <w:tcPr>
            <w:tcW w:type="dxa" w:w="1872"/>
          </w:tcPr>
          <w:p>
            <w:pPr>
              <w:spacing w:after="40"/>
            </w:pPr>
            <w:r/>
            <w:r>
              <w:rPr>
                <w:color w:val="222222"/>
                <w:sz w:val="17"/>
              </w:rPr>
              <w:t>25</w:t>
            </w:r>
          </w:p>
        </w:tc>
        <w:tc>
          <w:tcPr>
            <w:tcW w:type="dxa" w:w="1296"/>
          </w:tcPr>
          <w:p>
            <w:pPr>
              <w:spacing w:after="40"/>
            </w:pPr>
            <w:r/>
            <w:r>
              <w:rPr>
                <w:color w:val="222222"/>
                <w:sz w:val="17"/>
              </w:rPr>
              <w:t>14</w:t>
            </w:r>
          </w:p>
        </w:tc>
      </w:tr>
      <w:tr>
        <w:tc>
          <w:tcPr>
            <w:tcW w:type="dxa" w:w="2736"/>
          </w:tcPr>
          <w:p>
            <w:pPr>
              <w:spacing w:after="40"/>
            </w:pPr>
            <w:r/>
            <w:r>
              <w:rPr>
                <w:color w:val="222222"/>
                <w:sz w:val="17"/>
              </w:rPr>
              <w:t>LoHi</w:t>
            </w:r>
          </w:p>
        </w:tc>
        <w:tc>
          <w:tcPr>
            <w:tcW w:type="dxa" w:w="864"/>
          </w:tcPr>
          <w:p>
            <w:pPr>
              <w:spacing w:after="40"/>
            </w:pPr>
            <w:r/>
            <w:r>
              <w:rPr>
                <w:color w:val="222222"/>
                <w:sz w:val="17"/>
              </w:rPr>
              <w:t>T1</w:t>
            </w:r>
          </w:p>
        </w:tc>
        <w:tc>
          <w:tcPr>
            <w:tcW w:type="dxa" w:w="1440"/>
          </w:tcPr>
          <w:p>
            <w:pPr>
              <w:spacing w:after="40"/>
            </w:pPr>
            <w:r/>
            <w:r>
              <w:rPr>
                <w:color w:val="222222"/>
                <w:sz w:val="17"/>
              </w:rPr>
              <w:t>288.5</w:t>
            </w:r>
          </w:p>
        </w:tc>
        <w:tc>
          <w:tcPr>
            <w:tcW w:type="dxa" w:w="1872"/>
          </w:tcPr>
          <w:p>
            <w:pPr>
              <w:spacing w:after="40"/>
            </w:pPr>
            <w:r/>
            <w:r>
              <w:rPr>
                <w:color w:val="222222"/>
                <w:sz w:val="17"/>
              </w:rPr>
              <w:t>7</w:t>
            </w:r>
          </w:p>
        </w:tc>
        <w:tc>
          <w:tcPr>
            <w:tcW w:type="dxa" w:w="1296"/>
          </w:tcPr>
          <w:p>
            <w:pPr>
              <w:spacing w:after="40"/>
            </w:pPr>
            <w:r/>
            <w:r>
              <w:rPr>
                <w:color w:val="222222"/>
                <w:sz w:val="17"/>
              </w:rPr>
              <w:t>32</w:t>
            </w:r>
          </w:p>
        </w:tc>
      </w:tr>
      <w:tr>
        <w:tc>
          <w:tcPr>
            <w:tcW w:type="dxa" w:w="2736"/>
          </w:tcPr>
          <w:p>
            <w:pPr>
              <w:spacing w:after="40"/>
            </w:pPr>
            <w:r/>
            <w:r>
              <w:rPr>
                <w:color w:val="222222"/>
                <w:sz w:val="17"/>
              </w:rPr>
              <w:t>State Street (Santa Barbara)</w:t>
            </w:r>
          </w:p>
        </w:tc>
        <w:tc>
          <w:tcPr>
            <w:tcW w:type="dxa" w:w="864"/>
          </w:tcPr>
          <w:p>
            <w:pPr>
              <w:spacing w:after="40"/>
            </w:pPr>
            <w:r/>
            <w:r>
              <w:rPr>
                <w:color w:val="222222"/>
                <w:sz w:val="17"/>
              </w:rPr>
              <w:t>T1</w:t>
            </w:r>
          </w:p>
        </w:tc>
        <w:tc>
          <w:tcPr>
            <w:tcW w:type="dxa" w:w="1440"/>
          </w:tcPr>
          <w:p>
            <w:pPr>
              <w:spacing w:after="40"/>
            </w:pPr>
            <w:r/>
            <w:r>
              <w:rPr>
                <w:color w:val="222222"/>
                <w:sz w:val="17"/>
              </w:rPr>
              <w:t>277.2</w:t>
            </w:r>
          </w:p>
        </w:tc>
        <w:tc>
          <w:tcPr>
            <w:tcW w:type="dxa" w:w="1872"/>
          </w:tcPr>
          <w:p>
            <w:pPr>
              <w:spacing w:after="40"/>
            </w:pPr>
            <w:r/>
            <w:r>
              <w:rPr>
                <w:color w:val="222222"/>
                <w:sz w:val="17"/>
              </w:rPr>
              <w:t>4</w:t>
            </w:r>
          </w:p>
        </w:tc>
        <w:tc>
          <w:tcPr>
            <w:tcW w:type="dxa" w:w="1296"/>
          </w:tcPr>
          <w:p>
            <w:pPr>
              <w:spacing w:after="40"/>
            </w:pPr>
            <w:r/>
            <w:r>
              <w:rPr>
                <w:color w:val="222222"/>
                <w:sz w:val="17"/>
              </w:rPr>
              <w:t>35</w:t>
            </w:r>
          </w:p>
        </w:tc>
      </w:tr>
      <w:tr>
        <w:tc>
          <w:tcPr>
            <w:tcW w:type="dxa" w:w="2736"/>
          </w:tcPr>
          <w:p>
            <w:pPr>
              <w:spacing w:after="40"/>
            </w:pPr>
            <w:r/>
            <w:r>
              <w:rPr>
                <w:color w:val="222222"/>
                <w:sz w:val="17"/>
              </w:rPr>
              <w:t>Lakeview</w:t>
            </w:r>
          </w:p>
        </w:tc>
        <w:tc>
          <w:tcPr>
            <w:tcW w:type="dxa" w:w="864"/>
          </w:tcPr>
          <w:p>
            <w:pPr>
              <w:spacing w:after="40"/>
            </w:pPr>
            <w:r/>
            <w:r>
              <w:rPr>
                <w:color w:val="222222"/>
                <w:sz w:val="17"/>
              </w:rPr>
              <w:t>T1</w:t>
            </w:r>
          </w:p>
        </w:tc>
        <w:tc>
          <w:tcPr>
            <w:tcW w:type="dxa" w:w="1440"/>
          </w:tcPr>
          <w:p>
            <w:pPr>
              <w:spacing w:after="40"/>
            </w:pPr>
            <w:r/>
            <w:r>
              <w:rPr>
                <w:color w:val="222222"/>
                <w:sz w:val="17"/>
              </w:rPr>
              <w:t>276.2</w:t>
            </w:r>
          </w:p>
        </w:tc>
        <w:tc>
          <w:tcPr>
            <w:tcW w:type="dxa" w:w="1872"/>
          </w:tcPr>
          <w:p>
            <w:pPr>
              <w:spacing w:after="40"/>
            </w:pPr>
            <w:r/>
            <w:r>
              <w:rPr>
                <w:color w:val="222222"/>
                <w:sz w:val="17"/>
              </w:rPr>
              <w:t>14</w:t>
            </w:r>
          </w:p>
        </w:tc>
        <w:tc>
          <w:tcPr>
            <w:tcW w:type="dxa" w:w="1296"/>
          </w:tcPr>
          <w:p>
            <w:pPr>
              <w:spacing w:after="40"/>
            </w:pPr>
            <w:r/>
            <w:r>
              <w:rPr>
                <w:color w:val="222222"/>
                <w:sz w:val="17"/>
              </w:rPr>
              <w:t>25</w:t>
            </w:r>
          </w:p>
        </w:tc>
      </w:tr>
      <w:tr>
        <w:tc>
          <w:tcPr>
            <w:tcW w:type="dxa" w:w="2736"/>
          </w:tcPr>
          <w:p>
            <w:pPr>
              <w:spacing w:after="40"/>
            </w:pPr>
            <w:r/>
            <w:r>
              <w:rPr>
                <w:color w:val="222222"/>
                <w:sz w:val="17"/>
              </w:rPr>
              <w:t>Northwest Portland</w:t>
            </w:r>
          </w:p>
        </w:tc>
        <w:tc>
          <w:tcPr>
            <w:tcW w:type="dxa" w:w="864"/>
          </w:tcPr>
          <w:p>
            <w:pPr>
              <w:spacing w:after="40"/>
            </w:pPr>
            <w:r/>
            <w:r>
              <w:rPr>
                <w:color w:val="222222"/>
                <w:sz w:val="17"/>
              </w:rPr>
              <w:t>T1</w:t>
            </w:r>
          </w:p>
        </w:tc>
        <w:tc>
          <w:tcPr>
            <w:tcW w:type="dxa" w:w="1440"/>
          </w:tcPr>
          <w:p>
            <w:pPr>
              <w:spacing w:after="40"/>
            </w:pPr>
            <w:r/>
            <w:r>
              <w:rPr>
                <w:color w:val="222222"/>
                <w:sz w:val="17"/>
              </w:rPr>
              <w:t>275.1</w:t>
            </w:r>
          </w:p>
        </w:tc>
        <w:tc>
          <w:tcPr>
            <w:tcW w:type="dxa" w:w="1872"/>
          </w:tcPr>
          <w:p>
            <w:pPr>
              <w:spacing w:after="40"/>
            </w:pPr>
            <w:r/>
            <w:r>
              <w:rPr>
                <w:color w:val="222222"/>
                <w:sz w:val="17"/>
              </w:rPr>
              <w:t>24</w:t>
            </w:r>
          </w:p>
        </w:tc>
        <w:tc>
          <w:tcPr>
            <w:tcW w:type="dxa" w:w="1296"/>
          </w:tcPr>
          <w:p>
            <w:pPr>
              <w:spacing w:after="40"/>
            </w:pPr>
            <w:r/>
            <w:r>
              <w:rPr>
                <w:color w:val="222222"/>
                <w:sz w:val="17"/>
              </w:rPr>
              <w:t>15</w:t>
            </w:r>
          </w:p>
        </w:tc>
      </w:tr>
      <w:tr>
        <w:tc>
          <w:tcPr>
            <w:tcW w:type="dxa" w:w="2736"/>
          </w:tcPr>
          <w:p>
            <w:pPr>
              <w:spacing w:after="40"/>
            </w:pPr>
            <w:r/>
            <w:r>
              <w:rPr>
                <w:color w:val="222222"/>
                <w:sz w:val="17"/>
              </w:rPr>
              <w:t>La Cumbre</w:t>
            </w:r>
          </w:p>
        </w:tc>
        <w:tc>
          <w:tcPr>
            <w:tcW w:type="dxa" w:w="864"/>
          </w:tcPr>
          <w:p>
            <w:pPr>
              <w:spacing w:after="40"/>
            </w:pPr>
            <w:r/>
            <w:r>
              <w:rPr>
                <w:color w:val="222222"/>
                <w:sz w:val="17"/>
              </w:rPr>
              <w:t>T1</w:t>
            </w:r>
          </w:p>
        </w:tc>
        <w:tc>
          <w:tcPr>
            <w:tcW w:type="dxa" w:w="1440"/>
          </w:tcPr>
          <w:p>
            <w:pPr>
              <w:spacing w:after="40"/>
            </w:pPr>
            <w:r/>
            <w:r>
              <w:rPr>
                <w:color w:val="222222"/>
                <w:sz w:val="17"/>
              </w:rPr>
              <w:t>272.1</w:t>
            </w:r>
          </w:p>
        </w:tc>
        <w:tc>
          <w:tcPr>
            <w:tcW w:type="dxa" w:w="1872"/>
          </w:tcPr>
          <w:p>
            <w:pPr>
              <w:spacing w:after="40"/>
            </w:pPr>
            <w:r/>
            <w:r>
              <w:rPr>
                <w:color w:val="222222"/>
                <w:sz w:val="17"/>
              </w:rPr>
              <w:t>2</w:t>
            </w:r>
          </w:p>
        </w:tc>
        <w:tc>
          <w:tcPr>
            <w:tcW w:type="dxa" w:w="1296"/>
          </w:tcPr>
          <w:p>
            <w:pPr>
              <w:spacing w:after="40"/>
            </w:pPr>
            <w:r/>
            <w:r>
              <w:rPr>
                <w:color w:val="222222"/>
                <w:sz w:val="17"/>
              </w:rPr>
              <w:t>37</w:t>
            </w:r>
          </w:p>
        </w:tc>
      </w:tr>
      <w:tr>
        <w:tc>
          <w:tcPr>
            <w:tcW w:type="dxa" w:w="2736"/>
          </w:tcPr>
          <w:p>
            <w:pPr>
              <w:spacing w:after="40"/>
            </w:pPr>
            <w:r/>
            <w:r>
              <w:rPr>
                <w:color w:val="222222"/>
                <w:sz w:val="17"/>
              </w:rPr>
              <w:t>Medford</w:t>
            </w:r>
          </w:p>
        </w:tc>
        <w:tc>
          <w:tcPr>
            <w:tcW w:type="dxa" w:w="864"/>
          </w:tcPr>
          <w:p>
            <w:pPr>
              <w:spacing w:after="40"/>
            </w:pPr>
            <w:r/>
            <w:r>
              <w:rPr>
                <w:color w:val="222222"/>
                <w:sz w:val="17"/>
              </w:rPr>
              <w:t>T1</w:t>
            </w:r>
          </w:p>
        </w:tc>
        <w:tc>
          <w:tcPr>
            <w:tcW w:type="dxa" w:w="1440"/>
          </w:tcPr>
          <w:p>
            <w:pPr>
              <w:spacing w:after="40"/>
            </w:pPr>
            <w:r/>
            <w:r>
              <w:rPr>
                <w:color w:val="222222"/>
                <w:sz w:val="17"/>
              </w:rPr>
              <w:t>271.9</w:t>
            </w:r>
          </w:p>
        </w:tc>
        <w:tc>
          <w:tcPr>
            <w:tcW w:type="dxa" w:w="1872"/>
          </w:tcPr>
          <w:p>
            <w:pPr>
              <w:spacing w:after="40"/>
            </w:pPr>
            <w:r/>
            <w:r>
              <w:rPr>
                <w:color w:val="222222"/>
                <w:sz w:val="17"/>
              </w:rPr>
              <w:t>10</w:t>
            </w:r>
          </w:p>
        </w:tc>
        <w:tc>
          <w:tcPr>
            <w:tcW w:type="dxa" w:w="1296"/>
          </w:tcPr>
          <w:p>
            <w:pPr>
              <w:spacing w:after="40"/>
            </w:pPr>
            <w:r/>
            <w:r>
              <w:rPr>
                <w:color w:val="222222"/>
                <w:sz w:val="17"/>
              </w:rPr>
              <w:t>29</w:t>
            </w:r>
          </w:p>
        </w:tc>
      </w:tr>
      <w:tr>
        <w:tc>
          <w:tcPr>
            <w:tcW w:type="dxa" w:w="2736"/>
          </w:tcPr>
          <w:p>
            <w:pPr>
              <w:spacing w:after="40"/>
            </w:pPr>
            <w:r/>
            <w:r>
              <w:rPr>
                <w:color w:val="222222"/>
                <w:sz w:val="17"/>
              </w:rPr>
              <w:t>Newton</w:t>
            </w:r>
          </w:p>
        </w:tc>
        <w:tc>
          <w:tcPr>
            <w:tcW w:type="dxa" w:w="864"/>
          </w:tcPr>
          <w:p>
            <w:pPr>
              <w:spacing w:after="40"/>
            </w:pPr>
            <w:r/>
            <w:r>
              <w:rPr>
                <w:color w:val="222222"/>
                <w:sz w:val="17"/>
              </w:rPr>
              <w:t>T1</w:t>
            </w:r>
          </w:p>
        </w:tc>
        <w:tc>
          <w:tcPr>
            <w:tcW w:type="dxa" w:w="1440"/>
          </w:tcPr>
          <w:p>
            <w:pPr>
              <w:spacing w:after="40"/>
            </w:pPr>
            <w:r/>
            <w:r>
              <w:rPr>
                <w:color w:val="222222"/>
                <w:sz w:val="17"/>
              </w:rPr>
              <w:t>262</w:t>
            </w:r>
          </w:p>
        </w:tc>
        <w:tc>
          <w:tcPr>
            <w:tcW w:type="dxa" w:w="1872"/>
          </w:tcPr>
          <w:p>
            <w:pPr>
              <w:spacing w:after="40"/>
            </w:pPr>
            <w:r/>
            <w:r>
              <w:rPr>
                <w:color w:val="222222"/>
                <w:sz w:val="17"/>
              </w:rPr>
              <w:t>5</w:t>
            </w:r>
          </w:p>
        </w:tc>
        <w:tc>
          <w:tcPr>
            <w:tcW w:type="dxa" w:w="1296"/>
          </w:tcPr>
          <w:p>
            <w:pPr>
              <w:spacing w:after="40"/>
            </w:pPr>
            <w:r/>
            <w:r>
              <w:rPr>
                <w:color w:val="222222"/>
                <w:sz w:val="17"/>
              </w:rPr>
              <w:t>34</w:t>
            </w:r>
          </w:p>
        </w:tc>
      </w:tr>
    </w:tbl>
    <w:p>
      <w:pPr>
        <w:spacing w:after="40"/>
      </w:pPr>
    </w:p>
    <w:p>
      <w:pPr>
        <w:spacing w:before="260" w:after="80"/>
      </w:pPr>
      <w:r>
        <w:rPr>
          <w:b/>
          <w:color w:val="222222"/>
          <w:sz w:val="20"/>
        </w:rPr>
        <w:t>THE CLEAREST CASES IN THE POPULATION</w:t>
      </w:r>
    </w:p>
    <w:tbl>
      <w:tblPr>
        <w:tblStyle w:val="TableGrid"/>
        <w:tblW w:type="auto" w:w="0"/>
        <w:jc w:val="center"/>
        <w:tblLook w:firstColumn="1" w:firstRow="1" w:lastColumn="0" w:lastRow="0" w:noHBand="0" w:noVBand="1" w:val="04A0"/>
      </w:tblPr>
      <w:tblGrid>
        <w:gridCol w:w="3216"/>
        <w:gridCol w:w="3216"/>
        <w:gridCol w:w="3216"/>
      </w:tblGrid>
      <w:tr>
        <w:tc>
          <w:tcPr>
            <w:tcW w:type="dxa" w:w="3168"/>
            <w:shd w:val="clear" w:color="auto" w:fill="F2F2F2"/>
          </w:tcPr>
          <w:p>
            <w:pPr>
              <w:spacing w:after="40"/>
            </w:pPr>
            <w:r/>
            <w:r>
              <w:rPr>
                <w:b/>
                <w:color w:val="222222"/>
                <w:sz w:val="17"/>
              </w:rPr>
              <w:t>Studio</w:t>
            </w:r>
          </w:p>
        </w:tc>
        <w:tc>
          <w:tcPr>
            <w:tcW w:type="dxa" w:w="1728"/>
            <w:shd w:val="clear" w:color="auto" w:fill="F2F2F2"/>
          </w:tcPr>
          <w:p>
            <w:pPr>
              <w:spacing w:after="40"/>
            </w:pPr>
            <w:r/>
            <w:r>
              <w:rPr>
                <w:b/>
                <w:color w:val="222222"/>
                <w:sz w:val="17"/>
              </w:rPr>
              <w:t>Daily visits</w:t>
            </w:r>
          </w:p>
        </w:tc>
        <w:tc>
          <w:tcPr>
            <w:tcW w:type="dxa" w:w="2304"/>
            <w:shd w:val="clear" w:color="auto" w:fill="F2F2F2"/>
          </w:tcPr>
          <w:p>
            <w:pPr>
              <w:spacing w:after="40"/>
            </w:pPr>
            <w:r/>
            <w:r>
              <w:rPr>
                <w:b/>
                <w:color w:val="222222"/>
                <w:sz w:val="17"/>
              </w:rPr>
              <w:t>Support team today</w:t>
            </w:r>
          </w:p>
        </w:tc>
      </w:tr>
      <w:tr>
        <w:tc>
          <w:tcPr>
            <w:tcW w:type="dxa" w:w="3168"/>
          </w:tcPr>
          <w:p>
            <w:pPr>
              <w:spacing w:after="40"/>
            </w:pPr>
            <w:r/>
            <w:r>
              <w:rPr>
                <w:color w:val="222222"/>
                <w:sz w:val="17"/>
              </w:rPr>
              <w:t>La Cumbre</w:t>
            </w:r>
          </w:p>
        </w:tc>
        <w:tc>
          <w:tcPr>
            <w:tcW w:type="dxa" w:w="1728"/>
          </w:tcPr>
          <w:p>
            <w:pPr>
              <w:spacing w:after="40"/>
            </w:pPr>
            <w:r/>
            <w:r>
              <w:rPr>
                <w:color w:val="222222"/>
                <w:sz w:val="17"/>
              </w:rPr>
              <w:t>272</w:t>
            </w:r>
          </w:p>
        </w:tc>
        <w:tc>
          <w:tcPr>
            <w:tcW w:type="dxa" w:w="2304"/>
          </w:tcPr>
          <w:p>
            <w:pPr>
              <w:spacing w:after="40"/>
            </w:pPr>
            <w:r/>
            <w:r>
              <w:rPr>
                <w:color w:val="222222"/>
                <w:sz w:val="17"/>
              </w:rPr>
              <w:t>2</w:t>
            </w:r>
          </w:p>
        </w:tc>
      </w:tr>
      <w:tr>
        <w:tc>
          <w:tcPr>
            <w:tcW w:type="dxa" w:w="3168"/>
          </w:tcPr>
          <w:p>
            <w:pPr>
              <w:spacing w:after="40"/>
            </w:pPr>
            <w:r/>
            <w:r>
              <w:rPr>
                <w:color w:val="222222"/>
                <w:sz w:val="17"/>
              </w:rPr>
              <w:t>State Street, Santa Barbara</w:t>
            </w:r>
          </w:p>
        </w:tc>
        <w:tc>
          <w:tcPr>
            <w:tcW w:type="dxa" w:w="1728"/>
          </w:tcPr>
          <w:p>
            <w:pPr>
              <w:spacing w:after="40"/>
            </w:pPr>
            <w:r/>
            <w:r>
              <w:rPr>
                <w:color w:val="222222"/>
                <w:sz w:val="17"/>
              </w:rPr>
              <w:t>277</w:t>
            </w:r>
          </w:p>
        </w:tc>
        <w:tc>
          <w:tcPr>
            <w:tcW w:type="dxa" w:w="2304"/>
          </w:tcPr>
          <w:p>
            <w:pPr>
              <w:spacing w:after="40"/>
            </w:pPr>
            <w:r/>
            <w:r>
              <w:rPr>
                <w:color w:val="222222"/>
                <w:sz w:val="17"/>
              </w:rPr>
              <w:t>4</w:t>
            </w:r>
          </w:p>
        </w:tc>
      </w:tr>
    </w:tbl>
    <w:p>
      <w:pPr>
        <w:spacing w:after="40"/>
      </w:pPr>
    </w:p>
    <w:p>
      <w:r>
        <w:rPr>
          <w:color w:val="222222"/>
        </w:rPr>
        <w:t>A studio serving 272 people a day with two support team members is not short on hiring. It is operating without a functioning cleaning model. These two make the case for the dedicated cleaner path more directly than any correlation could, and they are the natural pilot pair if we want to test the model under real conditions before committing to the full population.</w:t>
      </w:r>
    </w:p>
    <w:p>
      <w:pPr>
        <w:spacing w:before="260" w:after="80"/>
      </w:pPr>
      <w:r>
        <w:rPr>
          <w:b/>
          <w:color w:val="222222"/>
          <w:sz w:val="20"/>
        </w:rPr>
        <w:t>OPEN QUESTIONS</w:t>
      </w:r>
    </w:p>
    <w:p>
      <w:pPr>
        <w:pStyle w:val="ListBullet"/>
        <w:spacing w:after="60"/>
      </w:pPr>
      <w:r>
        <w:rPr>
          <w:b/>
          <w:color w:val="222222"/>
        </w:rPr>
        <w:t xml:space="preserve">Two thin roles or one solid one. </w:t>
      </w:r>
      <w:r>
        <w:rPr>
          <w:color w:val="222222"/>
        </w:rPr>
        <w:t>The mid band splits 25 hours across two people, which is 12.5 hours each. That is a thin role in the same high wage markets where hiring is already the constraint. One person at 25 hours may be easier to fill than two at 12.5. The tradeoff is redundancy, and the field is better placed to judge which matters more.</w:t>
      </w:r>
    </w:p>
    <w:p>
      <w:pPr>
        <w:pStyle w:val="ListBullet"/>
        <w:spacing w:after="60"/>
      </w:pPr>
      <w:r>
        <w:rPr>
          <w:b/>
          <w:color w:val="222222"/>
        </w:rPr>
        <w:t xml:space="preserve">Redundancy in the low band. </w:t>
      </w:r>
      <w:r>
        <w:rPr>
          <w:color w:val="222222"/>
        </w:rPr>
        <w:t>At six hours a week and a single person, one call out takes the studio to zero coverage that week. Worth deciding whether the existing support team backstops it or whether those 18 studios are better served by adding team hours rather than a dedicated role.</w:t>
      </w:r>
    </w:p>
    <w:p>
      <w:pPr>
        <w:pStyle w:val="ListBullet"/>
        <w:spacing w:after="60"/>
      </w:pPr>
      <w:r>
        <w:rPr>
          <w:b/>
          <w:color w:val="222222"/>
        </w:rPr>
        <w:t xml:space="preserve">Whether 2.5 hours is right. </w:t>
      </w:r>
      <w:r>
        <w:rPr>
          <w:color w:val="222222"/>
        </w:rPr>
        <w:t>Two and a half hours per shift is grounded in when cleaning can be done properly rather than in measured cleaning time. If a studio needs longer, the model understates.</w:t>
      </w:r>
    </w:p>
    <w:p>
      <w:pPr>
        <w:pStyle w:val="ListBullet"/>
        <w:spacing w:after="60"/>
      </w:pPr>
      <w:r>
        <w:rPr>
          <w:b/>
          <w:color w:val="222222"/>
        </w:rPr>
        <w:t xml:space="preserve">Vendor or direct hire. </w:t>
      </w:r>
      <w:r>
        <w:rPr>
          <w:color w:val="222222"/>
        </w:rPr>
        <w:t>A contract may price differently than direct part time hires at the same hour count. The model is expressed in hours and is deliberately neutral on that choice.</w:t>
      </w:r>
    </w:p>
    <w:p>
      <w:pPr>
        <w:spacing w:before="260" w:after="80"/>
      </w:pPr>
      <w:r>
        <w:rPr>
          <w:b/>
          <w:color w:val="222222"/>
          <w:sz w:val="20"/>
        </w:rPr>
        <w:t>NEXT STEPS</w:t>
      </w:r>
    </w:p>
    <w:p>
      <w:pPr>
        <w:pStyle w:val="ListBullet"/>
        <w:spacing w:after="60"/>
      </w:pPr>
      <w:r>
        <w:rPr>
          <w:b/>
          <w:color w:val="222222"/>
        </w:rPr>
        <w:t xml:space="preserve">Route to Matthew for pricing. </w:t>
      </w:r>
      <w:r>
        <w:rPr>
          <w:color w:val="222222"/>
        </w:rPr>
        <w:t>Hour counts by studio are ready in both the recommended model and the upper bound.</w:t>
      </w:r>
    </w:p>
    <w:p>
      <w:pPr>
        <w:pStyle w:val="ListBullet"/>
        <w:spacing w:after="60"/>
      </w:pPr>
      <w:r>
        <w:rPr>
          <w:b/>
          <w:color w:val="222222"/>
        </w:rPr>
        <w:t xml:space="preserve">Hold the population at flagged, not placed. </w:t>
      </w:r>
      <w:r>
        <w:rPr>
          <w:color w:val="222222"/>
        </w:rPr>
        <w:t>Nothing here is committed. The sequence requires wage and hour work to be tried first.</w:t>
      </w:r>
    </w:p>
    <w:p>
      <w:pPr>
        <w:pStyle w:val="ListBullet"/>
        <w:spacing w:after="60"/>
      </w:pPr>
      <w:r>
        <w:rPr>
          <w:b/>
          <w:color w:val="222222"/>
        </w:rPr>
        <w:t xml:space="preserve">Consider La Cumbre and State Street as a pilot. </w:t>
      </w:r>
      <w:r>
        <w:rPr>
          <w:color w:val="222222"/>
        </w:rPr>
        <w:t>They would test the model under real conditions at the two studios with the widest gap between traffic and team.</w:t>
      </w:r>
    </w:p>
    <w:p>
      <w:pPr>
        <w:spacing w:before="320"/>
        <w:pBdr>
          <w:top w:val="single" w:sz="6" w:color="D2D2D2"/>
        </w:pBdr>
      </w:pPr>
      <w:r>
        <w:rPr>
          <w:color w:val="999999"/>
          <w:sz w:val="15"/>
        </w:rPr>
        <w:t>CorePower Yoga  |  Prepared by Michelle Salvatore, SVP Head of Operations  |  September 2026  |  Source: studio payroll and attendance data, 221 active studios</w:t>
      </w:r>
    </w:p>
    <w:sectPr w:rsidR="00FC693F" w:rsidRPr="0006063C"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276" w:lineRule="auto"/>
    </w:pPr>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