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22222"/>
          <w:sz w:val="38"/>
        </w:rPr>
        <w:t>Studio Cleanliness Cohorts</w:t>
      </w:r>
    </w:p>
    <w:p>
      <w:pPr>
        <w:spacing w:after="200"/>
      </w:pPr>
      <w:r>
        <w:rPr>
          <w:color w:val="555555"/>
          <w:sz w:val="20"/>
        </w:rPr>
        <w:t>Why one staffing answer does not work across 221 studios</w:t>
      </w:r>
    </w:p>
    <w:p>
      <w:pPr>
        <w:spacing w:after="240"/>
        <w:pBdr>
          <w:bottom w:val="single" w:sz="18" w:color="FF8200"/>
        </w:pBdr>
      </w:pPr>
    </w:p>
    <w:p>
      <w:pPr>
        <w:spacing w:before="260" w:after="80"/>
      </w:pPr>
      <w:r>
        <w:rPr>
          <w:b/>
          <w:color w:val="222222"/>
          <w:sz w:val="20"/>
        </w:rPr>
        <w:t>THE PROBLEM</w:t>
      </w:r>
    </w:p>
    <w:p>
      <w:r>
        <w:rPr>
          <w:color w:val="222222"/>
        </w:rPr>
        <w:t>Cleanliness has been a persistent problem across the network, and it has resisted a single fix. We have tried adding headcount. We have tried raising wages in specific markets. We have tried equipment. Each of those worked somewhere and failed somewhere else, which is the clearest evidence that we were treating different problems as though they were the same problem.</w:t>
      </w:r>
    </w:p>
    <w:p>
      <w:r>
        <w:rPr>
          <w:color w:val="222222"/>
        </w:rPr>
        <w:t>When we look at a studio as a whole, there is no one way to make all studios work the right way. A studio with no Studio Coordinator cannot be fixed by approving more support team hours, because there is nobody to schedule them. A studio paying below market cannot be fixed by opening more positions, because it cannot fill the ones it has. A studio that is fully staffed and still failing has a different problem entirely.</w:t>
      </w:r>
    </w:p>
    <w:p>
      <w:pPr>
        <w:spacing w:before="120" w:after="200"/>
        <w:ind w:left="216"/>
        <w:pBdr>
          <w:left w:val="single" w:sz="18" w:color="FF8200" w:space="8"/>
        </w:pBdr>
      </w:pPr>
      <w:r>
        <w:rPr>
          <w:b/>
          <w:color w:val="222222"/>
        </w:rPr>
        <w:t xml:space="preserve">The core insight. </w:t>
      </w:r>
      <w:r>
        <w:rPr>
          <w:color w:val="222222"/>
          <w:sz w:val="20"/>
        </w:rPr>
        <w:t>The interventions are not interchangeable. They are sequential. Applying them out of order wastes money and leaves the studio exactly where it started.</w:t>
      </w:r>
    </w:p>
    <w:p>
      <w:pPr>
        <w:spacing w:before="260" w:after="80"/>
      </w:pPr>
      <w:r>
        <w:rPr>
          <w:b/>
          <w:color w:val="222222"/>
          <w:sz w:val="20"/>
        </w:rPr>
        <w:t>THE STANDARD</w:t>
      </w:r>
    </w:p>
    <w:p>
      <w:r>
        <w:rPr>
          <w:color w:val="222222"/>
        </w:rPr>
        <w:t>Every studio, regardless of tier, must reach a minimum of 39 support team members or 59 cleaning hours per week. The standard does not scale with attendance because the physical work does not scale with attendance. A Tier 5 studio has the same number of mats, the same showers, the same locker rooms, and the same surfaces as a Tier 1 studio. It simply has fewer people walking past them.</w:t>
      </w:r>
    </w:p>
    <w:p>
      <w:r>
        <w:rPr>
          <w:color w:val="222222"/>
        </w:rPr>
        <w:t>That is a deliberate change from how we have thought about this. Tier scaled cleaning targets let a small studio pass at a headcount that would never produce a clean facility. The flat standard removes that exception.</w:t>
      </w:r>
    </w:p>
    <w:p>
      <w:pPr>
        <w:spacing w:before="260" w:after="80"/>
      </w:pPr>
      <w:r>
        <w:rPr>
          <w:b/>
          <w:color w:val="222222"/>
          <w:sz w:val="20"/>
        </w:rPr>
        <w:t>THE COHORTS</w:t>
      </w:r>
    </w:p>
    <w:p>
      <w:r>
        <w:rPr>
          <w:color w:val="222222"/>
        </w:rPr>
        <w:t>Rather than sorting studios by symptom, we sort them by which intervention comes next. Each studio sits at exactly one step, and the steps run in a fixed order.</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720"/>
            <w:shd w:val="clear" w:color="auto" w:fill="F2F2F2"/>
          </w:tcPr>
          <w:p>
            <w:pPr>
              <w:spacing w:after="40"/>
            </w:pPr>
            <w:r/>
            <w:r>
              <w:rPr>
                <w:b/>
                <w:color w:val="222222"/>
                <w:sz w:val="17"/>
              </w:rPr>
              <w:t>Step</w:t>
            </w:r>
          </w:p>
        </w:tc>
        <w:tc>
          <w:tcPr>
            <w:tcW w:type="dxa" w:w="2736"/>
            <w:shd w:val="clear" w:color="auto" w:fill="F2F2F2"/>
          </w:tcPr>
          <w:p>
            <w:pPr>
              <w:spacing w:after="40"/>
            </w:pPr>
            <w:r/>
            <w:r>
              <w:rPr>
                <w:b/>
                <w:color w:val="222222"/>
                <w:sz w:val="17"/>
              </w:rPr>
              <w:t>Intervention</w:t>
            </w:r>
          </w:p>
        </w:tc>
        <w:tc>
          <w:tcPr>
            <w:tcW w:type="dxa" w:w="3744"/>
            <w:shd w:val="clear" w:color="auto" w:fill="F2F2F2"/>
          </w:tcPr>
          <w:p>
            <w:pPr>
              <w:spacing w:after="40"/>
            </w:pPr>
            <w:r/>
            <w:r>
              <w:rPr>
                <w:b/>
                <w:color w:val="222222"/>
                <w:sz w:val="17"/>
              </w:rPr>
              <w:t>Criteria</w:t>
            </w:r>
          </w:p>
        </w:tc>
        <w:tc>
          <w:tcPr>
            <w:tcW w:type="dxa" w:w="1008"/>
            <w:shd w:val="clear" w:color="auto" w:fill="F2F2F2"/>
          </w:tcPr>
          <w:p>
            <w:pPr>
              <w:spacing w:after="40"/>
            </w:pPr>
            <w:r/>
            <w:r>
              <w:rPr>
                <w:b/>
                <w:color w:val="222222"/>
                <w:sz w:val="17"/>
              </w:rPr>
              <w:t>Studios</w:t>
            </w:r>
          </w:p>
        </w:tc>
      </w:tr>
      <w:tr>
        <w:tc>
          <w:tcPr>
            <w:tcW w:type="dxa" w:w="720"/>
          </w:tcPr>
          <w:p>
            <w:pPr>
              <w:spacing w:after="40"/>
            </w:pPr>
            <w:r/>
            <w:r>
              <w:rPr>
                <w:color w:val="222222"/>
                <w:sz w:val="17"/>
              </w:rPr>
              <w:t>A</w:t>
            </w:r>
          </w:p>
        </w:tc>
        <w:tc>
          <w:tcPr>
            <w:tcW w:type="dxa" w:w="2736"/>
          </w:tcPr>
          <w:p>
            <w:pPr>
              <w:spacing w:after="40"/>
            </w:pPr>
            <w:r/>
            <w:r>
              <w:rPr>
                <w:color w:val="222222"/>
                <w:sz w:val="17"/>
              </w:rPr>
              <w:t>Leave alone</w:t>
            </w:r>
          </w:p>
        </w:tc>
        <w:tc>
          <w:tcPr>
            <w:tcW w:type="dxa" w:w="3744"/>
          </w:tcPr>
          <w:p>
            <w:pPr>
              <w:spacing w:after="40"/>
            </w:pPr>
            <w:r/>
            <w:r>
              <w:rPr>
                <w:color w:val="222222"/>
                <w:sz w:val="17"/>
              </w:rPr>
              <w:t>Already at 39 members or 59 hours per week</w:t>
            </w:r>
          </w:p>
        </w:tc>
        <w:tc>
          <w:tcPr>
            <w:tcW w:type="dxa" w:w="1008"/>
          </w:tcPr>
          <w:p>
            <w:pPr>
              <w:spacing w:after="40"/>
            </w:pPr>
            <w:r/>
            <w:r>
              <w:rPr>
                <w:color w:val="222222"/>
                <w:sz w:val="17"/>
              </w:rPr>
              <w:t>2</w:t>
            </w:r>
          </w:p>
        </w:tc>
      </w:tr>
      <w:tr>
        <w:tc>
          <w:tcPr>
            <w:tcW w:type="dxa" w:w="720"/>
          </w:tcPr>
          <w:p>
            <w:pPr>
              <w:spacing w:after="40"/>
            </w:pPr>
            <w:r/>
            <w:r>
              <w:rPr>
                <w:color w:val="222222"/>
                <w:sz w:val="17"/>
              </w:rPr>
              <w:t>B</w:t>
            </w:r>
          </w:p>
        </w:tc>
        <w:tc>
          <w:tcPr>
            <w:tcW w:type="dxa" w:w="2736"/>
          </w:tcPr>
          <w:p>
            <w:pPr>
              <w:spacing w:after="40"/>
            </w:pPr>
            <w:r/>
            <w:r>
              <w:rPr>
                <w:color w:val="222222"/>
                <w:sz w:val="17"/>
              </w:rPr>
              <w:t>Hire a Studio Coordinator</w:t>
            </w:r>
          </w:p>
        </w:tc>
        <w:tc>
          <w:tcPr>
            <w:tcW w:type="dxa" w:w="3744"/>
          </w:tcPr>
          <w:p>
            <w:pPr>
              <w:spacing w:after="40"/>
            </w:pPr>
            <w:r/>
            <w:r>
              <w:rPr>
                <w:color w:val="222222"/>
                <w:sz w:val="17"/>
              </w:rPr>
              <w:t>No Coordinator on payroll</w:t>
            </w:r>
          </w:p>
        </w:tc>
        <w:tc>
          <w:tcPr>
            <w:tcW w:type="dxa" w:w="1008"/>
          </w:tcPr>
          <w:p>
            <w:pPr>
              <w:spacing w:after="40"/>
            </w:pPr>
            <w:r/>
            <w:r>
              <w:rPr>
                <w:color w:val="222222"/>
                <w:sz w:val="17"/>
              </w:rPr>
              <w:t>42</w:t>
            </w:r>
          </w:p>
        </w:tc>
      </w:tr>
      <w:tr>
        <w:tc>
          <w:tcPr>
            <w:tcW w:type="dxa" w:w="720"/>
          </w:tcPr>
          <w:p>
            <w:pPr>
              <w:spacing w:after="40"/>
            </w:pPr>
            <w:r/>
            <w:r>
              <w:rPr>
                <w:color w:val="222222"/>
                <w:sz w:val="17"/>
              </w:rPr>
              <w:t>C</w:t>
            </w:r>
          </w:p>
        </w:tc>
        <w:tc>
          <w:tcPr>
            <w:tcW w:type="dxa" w:w="2736"/>
          </w:tcPr>
          <w:p>
            <w:pPr>
              <w:spacing w:after="40"/>
            </w:pPr>
            <w:r/>
            <w:r>
              <w:rPr>
                <w:color w:val="222222"/>
                <w:sz w:val="17"/>
              </w:rPr>
              <w:t>Evaluate and adjust support team wages</w:t>
            </w:r>
          </w:p>
        </w:tc>
        <w:tc>
          <w:tcPr>
            <w:tcW w:type="dxa" w:w="3744"/>
          </w:tcPr>
          <w:p>
            <w:pPr>
              <w:spacing w:after="40"/>
            </w:pPr>
            <w:r/>
            <w:r>
              <w:rPr>
                <w:color w:val="222222"/>
                <w:sz w:val="17"/>
              </w:rPr>
              <w:t>Has a Coordinator, pay sits below market maximum</w:t>
            </w:r>
          </w:p>
        </w:tc>
        <w:tc>
          <w:tcPr>
            <w:tcW w:type="dxa" w:w="1008"/>
          </w:tcPr>
          <w:p>
            <w:pPr>
              <w:spacing w:after="40"/>
            </w:pPr>
            <w:r/>
            <w:r>
              <w:rPr>
                <w:color w:val="222222"/>
                <w:sz w:val="17"/>
              </w:rPr>
              <w:t>39</w:t>
            </w:r>
          </w:p>
        </w:tc>
      </w:tr>
      <w:tr>
        <w:tc>
          <w:tcPr>
            <w:tcW w:type="dxa" w:w="720"/>
          </w:tcPr>
          <w:p>
            <w:pPr>
              <w:spacing w:after="40"/>
            </w:pPr>
            <w:r/>
            <w:r>
              <w:rPr>
                <w:color w:val="222222"/>
                <w:sz w:val="17"/>
              </w:rPr>
              <w:t>D</w:t>
            </w:r>
          </w:p>
        </w:tc>
        <w:tc>
          <w:tcPr>
            <w:tcW w:type="dxa" w:w="2736"/>
          </w:tcPr>
          <w:p>
            <w:pPr>
              <w:spacing w:after="40"/>
            </w:pPr>
            <w:r/>
            <w:r>
              <w:rPr>
                <w:color w:val="222222"/>
                <w:sz w:val="17"/>
              </w:rPr>
              <w:t>Adjust support team hours</w:t>
            </w:r>
          </w:p>
        </w:tc>
        <w:tc>
          <w:tcPr>
            <w:tcW w:type="dxa" w:w="3744"/>
          </w:tcPr>
          <w:p>
            <w:pPr>
              <w:spacing w:after="40"/>
            </w:pPr>
            <w:r/>
            <w:r>
              <w:rPr>
                <w:color w:val="222222"/>
                <w:sz w:val="17"/>
              </w:rPr>
              <w:t>Has a Coordinator, wages already at market</w:t>
            </w:r>
          </w:p>
        </w:tc>
        <w:tc>
          <w:tcPr>
            <w:tcW w:type="dxa" w:w="1008"/>
          </w:tcPr>
          <w:p>
            <w:pPr>
              <w:spacing w:after="40"/>
            </w:pPr>
            <w:r/>
            <w:r>
              <w:rPr>
                <w:color w:val="222222"/>
                <w:sz w:val="17"/>
              </w:rPr>
              <w:t>138</w:t>
            </w:r>
          </w:p>
        </w:tc>
      </w:tr>
      <w:tr>
        <w:tc>
          <w:tcPr>
            <w:tcW w:type="dxa" w:w="720"/>
          </w:tcPr>
          <w:p>
            <w:pPr>
              <w:spacing w:after="40"/>
            </w:pPr>
            <w:r/>
            <w:r>
              <w:rPr>
                <w:color w:val="222222"/>
                <w:sz w:val="17"/>
              </w:rPr>
              <w:t>E</w:t>
            </w:r>
          </w:p>
        </w:tc>
        <w:tc>
          <w:tcPr>
            <w:tcW w:type="dxa" w:w="2736"/>
          </w:tcPr>
          <w:p>
            <w:pPr>
              <w:spacing w:after="40"/>
            </w:pPr>
            <w:r/>
            <w:r>
              <w:rPr>
                <w:color w:val="222222"/>
                <w:sz w:val="17"/>
              </w:rPr>
              <w:t>Hire dedicated cleaners</w:t>
            </w:r>
          </w:p>
        </w:tc>
        <w:tc>
          <w:tcPr>
            <w:tcW w:type="dxa" w:w="3744"/>
          </w:tcPr>
          <w:p>
            <w:pPr>
              <w:spacing w:after="40"/>
            </w:pPr>
            <w:r/>
            <w:r>
              <w:rPr>
                <w:color w:val="222222"/>
                <w:sz w:val="17"/>
              </w:rPr>
              <w:t>Wage and hour levers exhausted, studio is profitable, and the gap is too wide for hiring alone</w:t>
            </w:r>
          </w:p>
        </w:tc>
        <w:tc>
          <w:tcPr>
            <w:tcW w:type="dxa" w:w="1008"/>
          </w:tcPr>
          <w:p>
            <w:pPr>
              <w:spacing w:after="40"/>
            </w:pPr>
            <w:r/>
            <w:r>
              <w:rPr>
                <w:color w:val="222222"/>
                <w:sz w:val="17"/>
              </w:rPr>
              <w:t>0</w:t>
            </w:r>
          </w:p>
        </w:tc>
      </w:tr>
    </w:tbl>
    <w:p>
      <w:pPr>
        <w:spacing w:after="40"/>
      </w:pPr>
    </w:p>
    <w:p>
      <w:pPr>
        <w:spacing w:before="260" w:after="80"/>
      </w:pPr>
      <w:r>
        <w:rPr>
          <w:b/>
          <w:color w:val="222222"/>
          <w:sz w:val="20"/>
        </w:rPr>
        <w:t>THE STEP COUNT UNDERSTATES THE WORK</w:t>
      </w:r>
    </w:p>
    <w:p>
      <w:r>
        <w:rPr>
          <w:color w:val="222222"/>
        </w:rPr>
        <w:t>The table above places each studio at its first required action. That is the right way to sequence, but it makes the scope look lighter than it is. Most studios do not need one intervention. They need two or three, taken in order.</w:t>
      </w:r>
    </w:p>
    <w:tbl>
      <w:tblPr>
        <w:tblStyle w:val="TableGrid"/>
        <w:tblW w:type="auto" w:w="0"/>
        <w:jc w:val="center"/>
        <w:tblLook w:firstColumn="1" w:firstRow="1" w:lastColumn="0" w:lastRow="0" w:noHBand="0" w:noVBand="1" w:val="04A0"/>
      </w:tblPr>
      <w:tblGrid>
        <w:gridCol w:w="3216"/>
        <w:gridCol w:w="3216"/>
        <w:gridCol w:w="3216"/>
      </w:tblGrid>
      <w:tr>
        <w:tc>
          <w:tcPr>
            <w:tcW w:type="dxa" w:w="1872"/>
            <w:shd w:val="clear" w:color="auto" w:fill="F2F2F2"/>
          </w:tcPr>
          <w:p>
            <w:pPr>
              <w:spacing w:after="40"/>
            </w:pPr>
            <w:r/>
            <w:r>
              <w:rPr>
                <w:b/>
                <w:color w:val="222222"/>
                <w:sz w:val="17"/>
              </w:rPr>
              <w:t>Actions required</w:t>
            </w:r>
          </w:p>
        </w:tc>
        <w:tc>
          <w:tcPr>
            <w:tcW w:type="dxa" w:w="1296"/>
            <w:shd w:val="clear" w:color="auto" w:fill="F2F2F2"/>
          </w:tcPr>
          <w:p>
            <w:pPr>
              <w:spacing w:after="40"/>
            </w:pPr>
            <w:r/>
            <w:r>
              <w:rPr>
                <w:b/>
                <w:color w:val="222222"/>
                <w:sz w:val="17"/>
              </w:rPr>
              <w:t>Studios</w:t>
            </w:r>
          </w:p>
        </w:tc>
        <w:tc>
          <w:tcPr>
            <w:tcW w:type="dxa" w:w="4896"/>
            <w:shd w:val="clear" w:color="auto" w:fill="F2F2F2"/>
          </w:tcPr>
          <w:p>
            <w:pPr>
              <w:spacing w:after="40"/>
            </w:pPr>
            <w:r/>
            <w:r>
              <w:rPr>
                <w:b/>
                <w:color w:val="222222"/>
                <w:sz w:val="17"/>
              </w:rPr>
              <w:t>What it means</w:t>
            </w:r>
          </w:p>
        </w:tc>
      </w:tr>
      <w:tr>
        <w:tc>
          <w:tcPr>
            <w:tcW w:type="dxa" w:w="1872"/>
          </w:tcPr>
          <w:p>
            <w:pPr>
              <w:spacing w:after="40"/>
            </w:pPr>
            <w:r/>
            <w:r>
              <w:rPr>
                <w:color w:val="222222"/>
                <w:sz w:val="17"/>
              </w:rPr>
              <w:t>None</w:t>
            </w:r>
          </w:p>
        </w:tc>
        <w:tc>
          <w:tcPr>
            <w:tcW w:type="dxa" w:w="1296"/>
          </w:tcPr>
          <w:p>
            <w:pPr>
              <w:spacing w:after="40"/>
            </w:pPr>
            <w:r/>
            <w:r>
              <w:rPr>
                <w:color w:val="222222"/>
                <w:sz w:val="17"/>
              </w:rPr>
              <w:t>2</w:t>
            </w:r>
          </w:p>
        </w:tc>
        <w:tc>
          <w:tcPr>
            <w:tcW w:type="dxa" w:w="4896"/>
          </w:tcPr>
          <w:p>
            <w:pPr>
              <w:spacing w:after="40"/>
            </w:pPr>
            <w:r/>
            <w:r>
              <w:rPr>
                <w:color w:val="222222"/>
                <w:sz w:val="17"/>
              </w:rPr>
              <w:t>Already at the standard</w:t>
            </w:r>
          </w:p>
        </w:tc>
      </w:tr>
      <w:tr>
        <w:tc>
          <w:tcPr>
            <w:tcW w:type="dxa" w:w="1872"/>
          </w:tcPr>
          <w:p>
            <w:pPr>
              <w:spacing w:after="40"/>
            </w:pPr>
            <w:r/>
            <w:r>
              <w:rPr>
                <w:color w:val="222222"/>
                <w:sz w:val="17"/>
              </w:rPr>
              <w:t>One</w:t>
            </w:r>
          </w:p>
        </w:tc>
        <w:tc>
          <w:tcPr>
            <w:tcW w:type="dxa" w:w="1296"/>
          </w:tcPr>
          <w:p>
            <w:pPr>
              <w:spacing w:after="40"/>
            </w:pPr>
            <w:r/>
            <w:r>
              <w:rPr>
                <w:color w:val="222222"/>
                <w:sz w:val="17"/>
              </w:rPr>
              <w:t>138</w:t>
            </w:r>
          </w:p>
        </w:tc>
        <w:tc>
          <w:tcPr>
            <w:tcW w:type="dxa" w:w="4896"/>
          </w:tcPr>
          <w:p>
            <w:pPr>
              <w:spacing w:after="40"/>
            </w:pPr>
            <w:r/>
            <w:r>
              <w:rPr>
                <w:color w:val="222222"/>
                <w:sz w:val="17"/>
              </w:rPr>
              <w:t>A single lever closes the gap</w:t>
            </w:r>
          </w:p>
        </w:tc>
      </w:tr>
      <w:tr>
        <w:tc>
          <w:tcPr>
            <w:tcW w:type="dxa" w:w="1872"/>
          </w:tcPr>
          <w:p>
            <w:pPr>
              <w:spacing w:after="40"/>
            </w:pPr>
            <w:r/>
            <w:r>
              <w:rPr>
                <w:color w:val="222222"/>
                <w:sz w:val="17"/>
              </w:rPr>
              <w:t>Two</w:t>
            </w:r>
          </w:p>
        </w:tc>
        <w:tc>
          <w:tcPr>
            <w:tcW w:type="dxa" w:w="1296"/>
          </w:tcPr>
          <w:p>
            <w:pPr>
              <w:spacing w:after="40"/>
            </w:pPr>
            <w:r/>
            <w:r>
              <w:rPr>
                <w:color w:val="222222"/>
                <w:sz w:val="17"/>
              </w:rPr>
              <w:t>69</w:t>
            </w:r>
          </w:p>
        </w:tc>
        <w:tc>
          <w:tcPr>
            <w:tcW w:type="dxa" w:w="4896"/>
          </w:tcPr>
          <w:p>
            <w:pPr>
              <w:spacing w:after="40"/>
            </w:pPr>
            <w:r/>
            <w:r>
              <w:rPr>
                <w:color w:val="222222"/>
                <w:sz w:val="17"/>
              </w:rPr>
              <w:t>Typically a Coordinator hire or a wage correction, then hours</w:t>
            </w:r>
          </w:p>
        </w:tc>
      </w:tr>
      <w:tr>
        <w:tc>
          <w:tcPr>
            <w:tcW w:type="dxa" w:w="1872"/>
          </w:tcPr>
          <w:p>
            <w:pPr>
              <w:spacing w:after="40"/>
            </w:pPr>
            <w:r/>
            <w:r>
              <w:rPr>
                <w:color w:val="222222"/>
                <w:sz w:val="17"/>
              </w:rPr>
              <w:t>Three</w:t>
            </w:r>
          </w:p>
        </w:tc>
        <w:tc>
          <w:tcPr>
            <w:tcW w:type="dxa" w:w="1296"/>
          </w:tcPr>
          <w:p>
            <w:pPr>
              <w:spacing w:after="40"/>
            </w:pPr>
            <w:r/>
            <w:r>
              <w:rPr>
                <w:color w:val="222222"/>
                <w:sz w:val="17"/>
              </w:rPr>
              <w:t>12</w:t>
            </w:r>
          </w:p>
        </w:tc>
        <w:tc>
          <w:tcPr>
            <w:tcW w:type="dxa" w:w="4896"/>
          </w:tcPr>
          <w:p>
            <w:pPr>
              <w:spacing w:after="40"/>
            </w:pPr>
            <w:r/>
            <w:r>
              <w:rPr>
                <w:color w:val="222222"/>
                <w:sz w:val="17"/>
              </w:rPr>
              <w:t>Coordinator, then wages, then hours. Effectively three projects.</w:t>
            </w:r>
          </w:p>
        </w:tc>
      </w:tr>
    </w:tbl>
    <w:p>
      <w:pPr>
        <w:spacing w:after="40"/>
      </w:pPr>
    </w:p>
    <w:p>
      <w:pPr>
        <w:spacing w:before="120" w:after="200"/>
        <w:ind w:left="216"/>
        <w:pBdr>
          <w:left w:val="single" w:sz="18" w:color="FF8200" w:space="8"/>
        </w:pBdr>
      </w:pPr>
      <w:r>
        <w:rPr>
          <w:b/>
          <w:color w:val="222222"/>
        </w:rPr>
        <w:t xml:space="preserve">The real scope. </w:t>
      </w:r>
      <w:r>
        <w:rPr>
          <w:color w:val="222222"/>
          <w:sz w:val="20"/>
        </w:rPr>
        <w:t>81 studios require two or more separate interventions. That is more than a third of the network. Across all 221 studios the plan calls for 312 distinct actions, not 219.</w:t>
      </w:r>
    </w:p>
    <w:p>
      <w:r>
        <w:rPr>
          <w:color w:val="222222"/>
        </w:rPr>
        <w:t>The twelve studios needing all three are the hardest cases in the network. Each requires a Coordinator hire, a wage correction, and an hours expansion before it has any realistic path to the standard.</w:t>
      </w:r>
    </w:p>
    <w:tbl>
      <w:tblPr>
        <w:tblStyle w:val="TableGrid"/>
        <w:tblW w:type="auto" w:w="0"/>
        <w:jc w:val="center"/>
        <w:tblLook w:firstColumn="1" w:firstRow="1" w:lastColumn="0" w:lastRow="0" w:noHBand="0" w:noVBand="1" w:val="04A0"/>
      </w:tblPr>
      <w:tblGrid>
        <w:gridCol w:w="3216"/>
        <w:gridCol w:w="3216"/>
        <w:gridCol w:w="3216"/>
      </w:tblGrid>
      <w:tr>
        <w:tc>
          <w:tcPr>
            <w:tcW w:type="dxa" w:w="3168"/>
            <w:shd w:val="clear" w:color="auto" w:fill="F2F2F2"/>
          </w:tcPr>
          <w:p>
            <w:pPr>
              <w:spacing w:after="40"/>
            </w:pPr>
            <w:r/>
            <w:r>
              <w:rPr>
                <w:b/>
                <w:color w:val="222222"/>
                <w:sz w:val="17"/>
              </w:rPr>
              <w:t>Studio</w:t>
            </w:r>
          </w:p>
        </w:tc>
        <w:tc>
          <w:tcPr>
            <w:tcW w:type="dxa" w:w="1440"/>
            <w:shd w:val="clear" w:color="auto" w:fill="F2F2F2"/>
          </w:tcPr>
          <w:p>
            <w:pPr>
              <w:spacing w:after="40"/>
            </w:pPr>
            <w:r/>
            <w:r>
              <w:rPr>
                <w:b/>
                <w:color w:val="222222"/>
                <w:sz w:val="17"/>
              </w:rPr>
              <w:t>Tier</w:t>
            </w:r>
          </w:p>
        </w:tc>
        <w:tc>
          <w:tcPr>
            <w:tcW w:type="dxa" w:w="2304"/>
            <w:shd w:val="clear" w:color="auto" w:fill="F2F2F2"/>
          </w:tcPr>
          <w:p>
            <w:pPr>
              <w:spacing w:after="40"/>
            </w:pPr>
            <w:r/>
            <w:r>
              <w:rPr>
                <w:b/>
                <w:color w:val="222222"/>
                <w:sz w:val="17"/>
              </w:rPr>
              <w:t>Support team today</w:t>
            </w:r>
          </w:p>
        </w:tc>
      </w:tr>
      <w:tr>
        <w:tc>
          <w:tcPr>
            <w:tcW w:type="dxa" w:w="3168"/>
          </w:tcPr>
          <w:p>
            <w:pPr>
              <w:spacing w:after="40"/>
            </w:pPr>
            <w:r/>
            <w:r>
              <w:rPr>
                <w:color w:val="222222"/>
                <w:sz w:val="17"/>
              </w:rPr>
              <w:t>Broomfield Flatirons</w:t>
            </w:r>
          </w:p>
        </w:tc>
        <w:tc>
          <w:tcPr>
            <w:tcW w:type="dxa" w:w="1440"/>
          </w:tcPr>
          <w:p>
            <w:pPr>
              <w:spacing w:after="40"/>
            </w:pPr>
            <w:r/>
            <w:r>
              <w:rPr>
                <w:color w:val="222222"/>
                <w:sz w:val="17"/>
              </w:rPr>
              <w:t>Tier 5</w:t>
            </w:r>
          </w:p>
        </w:tc>
        <w:tc>
          <w:tcPr>
            <w:tcW w:type="dxa" w:w="2304"/>
          </w:tcPr>
          <w:p>
            <w:pPr>
              <w:spacing w:after="40"/>
            </w:pPr>
            <w:r/>
            <w:r>
              <w:rPr>
                <w:color w:val="222222"/>
                <w:sz w:val="17"/>
              </w:rPr>
              <w:t>1</w:t>
            </w:r>
          </w:p>
        </w:tc>
      </w:tr>
      <w:tr>
        <w:tc>
          <w:tcPr>
            <w:tcW w:type="dxa" w:w="3168"/>
          </w:tcPr>
          <w:p>
            <w:pPr>
              <w:spacing w:after="40"/>
            </w:pPr>
            <w:r/>
            <w:r>
              <w:rPr>
                <w:color w:val="222222"/>
                <w:sz w:val="17"/>
              </w:rPr>
              <w:t>Broomfield East</w:t>
            </w:r>
          </w:p>
        </w:tc>
        <w:tc>
          <w:tcPr>
            <w:tcW w:type="dxa" w:w="1440"/>
          </w:tcPr>
          <w:p>
            <w:pPr>
              <w:spacing w:after="40"/>
            </w:pPr>
            <w:r/>
            <w:r>
              <w:rPr>
                <w:color w:val="222222"/>
                <w:sz w:val="17"/>
              </w:rPr>
              <w:t>Tier 4</w:t>
            </w:r>
          </w:p>
        </w:tc>
        <w:tc>
          <w:tcPr>
            <w:tcW w:type="dxa" w:w="2304"/>
          </w:tcPr>
          <w:p>
            <w:pPr>
              <w:spacing w:after="40"/>
            </w:pPr>
            <w:r/>
            <w:r>
              <w:rPr>
                <w:color w:val="222222"/>
                <w:sz w:val="17"/>
              </w:rPr>
              <w:t>4</w:t>
            </w:r>
          </w:p>
        </w:tc>
      </w:tr>
      <w:tr>
        <w:tc>
          <w:tcPr>
            <w:tcW w:type="dxa" w:w="3168"/>
          </w:tcPr>
          <w:p>
            <w:pPr>
              <w:spacing w:after="40"/>
            </w:pPr>
            <w:r/>
            <w:r>
              <w:rPr>
                <w:color w:val="222222"/>
                <w:sz w:val="17"/>
              </w:rPr>
              <w:t>Maple Grove</w:t>
            </w:r>
          </w:p>
        </w:tc>
        <w:tc>
          <w:tcPr>
            <w:tcW w:type="dxa" w:w="1440"/>
          </w:tcPr>
          <w:p>
            <w:pPr>
              <w:spacing w:after="40"/>
            </w:pPr>
            <w:r/>
            <w:r>
              <w:rPr>
                <w:color w:val="222222"/>
                <w:sz w:val="17"/>
              </w:rPr>
              <w:t>Tier 4</w:t>
            </w:r>
          </w:p>
        </w:tc>
        <w:tc>
          <w:tcPr>
            <w:tcW w:type="dxa" w:w="2304"/>
          </w:tcPr>
          <w:p>
            <w:pPr>
              <w:spacing w:after="40"/>
            </w:pPr>
            <w:r/>
            <w:r>
              <w:rPr>
                <w:color w:val="222222"/>
                <w:sz w:val="17"/>
              </w:rPr>
              <w:t>9</w:t>
            </w:r>
          </w:p>
        </w:tc>
      </w:tr>
      <w:tr>
        <w:tc>
          <w:tcPr>
            <w:tcW w:type="dxa" w:w="3168"/>
          </w:tcPr>
          <w:p>
            <w:pPr>
              <w:spacing w:after="40"/>
            </w:pPr>
            <w:r/>
            <w:r>
              <w:rPr>
                <w:color w:val="222222"/>
                <w:sz w:val="17"/>
              </w:rPr>
              <w:t>Naperville South</w:t>
            </w:r>
          </w:p>
        </w:tc>
        <w:tc>
          <w:tcPr>
            <w:tcW w:type="dxa" w:w="1440"/>
          </w:tcPr>
          <w:p>
            <w:pPr>
              <w:spacing w:after="40"/>
            </w:pPr>
            <w:r/>
            <w:r>
              <w:rPr>
                <w:color w:val="222222"/>
                <w:sz w:val="17"/>
              </w:rPr>
              <w:t>Tier 2</w:t>
            </w:r>
          </w:p>
        </w:tc>
        <w:tc>
          <w:tcPr>
            <w:tcW w:type="dxa" w:w="2304"/>
          </w:tcPr>
          <w:p>
            <w:pPr>
              <w:spacing w:after="40"/>
            </w:pPr>
            <w:r/>
            <w:r>
              <w:rPr>
                <w:color w:val="222222"/>
                <w:sz w:val="17"/>
              </w:rPr>
              <w:t>9</w:t>
            </w:r>
          </w:p>
        </w:tc>
      </w:tr>
      <w:tr>
        <w:tc>
          <w:tcPr>
            <w:tcW w:type="dxa" w:w="3168"/>
          </w:tcPr>
          <w:p>
            <w:pPr>
              <w:spacing w:after="40"/>
            </w:pPr>
            <w:r/>
            <w:r>
              <w:rPr>
                <w:color w:val="222222"/>
                <w:sz w:val="17"/>
              </w:rPr>
              <w:t>Hermosa Beach</w:t>
            </w:r>
          </w:p>
        </w:tc>
        <w:tc>
          <w:tcPr>
            <w:tcW w:type="dxa" w:w="1440"/>
          </w:tcPr>
          <w:p>
            <w:pPr>
              <w:spacing w:after="40"/>
            </w:pPr>
            <w:r/>
            <w:r>
              <w:rPr>
                <w:color w:val="222222"/>
                <w:sz w:val="17"/>
              </w:rPr>
              <w:t>Tier 4</w:t>
            </w:r>
          </w:p>
        </w:tc>
        <w:tc>
          <w:tcPr>
            <w:tcW w:type="dxa" w:w="2304"/>
          </w:tcPr>
          <w:p>
            <w:pPr>
              <w:spacing w:after="40"/>
            </w:pPr>
            <w:r/>
            <w:r>
              <w:rPr>
                <w:color w:val="222222"/>
                <w:sz w:val="17"/>
              </w:rPr>
              <w:t>9</w:t>
            </w:r>
          </w:p>
        </w:tc>
      </w:tr>
      <w:tr>
        <w:tc>
          <w:tcPr>
            <w:tcW w:type="dxa" w:w="3168"/>
          </w:tcPr>
          <w:p>
            <w:pPr>
              <w:spacing w:after="40"/>
            </w:pPr>
            <w:r/>
            <w:r>
              <w:rPr>
                <w:color w:val="222222"/>
                <w:sz w:val="17"/>
              </w:rPr>
              <w:t>Falls Church</w:t>
            </w:r>
          </w:p>
        </w:tc>
        <w:tc>
          <w:tcPr>
            <w:tcW w:type="dxa" w:w="1440"/>
          </w:tcPr>
          <w:p>
            <w:pPr>
              <w:spacing w:after="40"/>
            </w:pPr>
            <w:r/>
            <w:r>
              <w:rPr>
                <w:color w:val="222222"/>
                <w:sz w:val="17"/>
              </w:rPr>
              <w:t>Tier 3</w:t>
            </w:r>
          </w:p>
        </w:tc>
        <w:tc>
          <w:tcPr>
            <w:tcW w:type="dxa" w:w="2304"/>
          </w:tcPr>
          <w:p>
            <w:pPr>
              <w:spacing w:after="40"/>
            </w:pPr>
            <w:r/>
            <w:r>
              <w:rPr>
                <w:color w:val="222222"/>
                <w:sz w:val="17"/>
              </w:rPr>
              <w:t>11</w:t>
            </w:r>
          </w:p>
        </w:tc>
      </w:tr>
      <w:tr>
        <w:tc>
          <w:tcPr>
            <w:tcW w:type="dxa" w:w="3168"/>
          </w:tcPr>
          <w:p>
            <w:pPr>
              <w:spacing w:after="40"/>
            </w:pPr>
            <w:r/>
            <w:r>
              <w:rPr>
                <w:color w:val="222222"/>
                <w:sz w:val="17"/>
              </w:rPr>
              <w:t>Edina</w:t>
            </w:r>
          </w:p>
        </w:tc>
        <w:tc>
          <w:tcPr>
            <w:tcW w:type="dxa" w:w="1440"/>
          </w:tcPr>
          <w:p>
            <w:pPr>
              <w:spacing w:after="40"/>
            </w:pPr>
            <w:r/>
            <w:r>
              <w:rPr>
                <w:color w:val="222222"/>
                <w:sz w:val="17"/>
              </w:rPr>
              <w:t>Tier 4</w:t>
            </w:r>
          </w:p>
        </w:tc>
        <w:tc>
          <w:tcPr>
            <w:tcW w:type="dxa" w:w="2304"/>
          </w:tcPr>
          <w:p>
            <w:pPr>
              <w:spacing w:after="40"/>
            </w:pPr>
            <w:r/>
            <w:r>
              <w:rPr>
                <w:color w:val="222222"/>
                <w:sz w:val="17"/>
              </w:rPr>
              <w:t>12</w:t>
            </w:r>
          </w:p>
        </w:tc>
      </w:tr>
      <w:tr>
        <w:tc>
          <w:tcPr>
            <w:tcW w:type="dxa" w:w="3168"/>
          </w:tcPr>
          <w:p>
            <w:pPr>
              <w:spacing w:after="40"/>
            </w:pPr>
            <w:r/>
            <w:r>
              <w:rPr>
                <w:color w:val="222222"/>
                <w:sz w:val="17"/>
              </w:rPr>
              <w:t>Wilshire</w:t>
            </w:r>
          </w:p>
        </w:tc>
        <w:tc>
          <w:tcPr>
            <w:tcW w:type="dxa" w:w="1440"/>
          </w:tcPr>
          <w:p>
            <w:pPr>
              <w:spacing w:after="40"/>
            </w:pPr>
            <w:r/>
            <w:r>
              <w:rPr>
                <w:color w:val="222222"/>
                <w:sz w:val="17"/>
              </w:rPr>
              <w:t>Tier 2</w:t>
            </w:r>
          </w:p>
        </w:tc>
        <w:tc>
          <w:tcPr>
            <w:tcW w:type="dxa" w:w="2304"/>
          </w:tcPr>
          <w:p>
            <w:pPr>
              <w:spacing w:after="40"/>
            </w:pPr>
            <w:r/>
            <w:r>
              <w:rPr>
                <w:color w:val="222222"/>
                <w:sz w:val="17"/>
              </w:rPr>
              <w:t>12</w:t>
            </w:r>
          </w:p>
        </w:tc>
      </w:tr>
      <w:tr>
        <w:tc>
          <w:tcPr>
            <w:tcW w:type="dxa" w:w="3168"/>
          </w:tcPr>
          <w:p>
            <w:pPr>
              <w:spacing w:after="40"/>
            </w:pPr>
            <w:r/>
            <w:r>
              <w:rPr>
                <w:color w:val="222222"/>
                <w:sz w:val="17"/>
              </w:rPr>
              <w:t>Culver City</w:t>
            </w:r>
          </w:p>
        </w:tc>
        <w:tc>
          <w:tcPr>
            <w:tcW w:type="dxa" w:w="1440"/>
          </w:tcPr>
          <w:p>
            <w:pPr>
              <w:spacing w:after="40"/>
            </w:pPr>
            <w:r/>
            <w:r>
              <w:rPr>
                <w:color w:val="222222"/>
                <w:sz w:val="17"/>
              </w:rPr>
              <w:t>Tier 4</w:t>
            </w:r>
          </w:p>
        </w:tc>
        <w:tc>
          <w:tcPr>
            <w:tcW w:type="dxa" w:w="2304"/>
          </w:tcPr>
          <w:p>
            <w:pPr>
              <w:spacing w:after="40"/>
            </w:pPr>
            <w:r/>
            <w:r>
              <w:rPr>
                <w:color w:val="222222"/>
                <w:sz w:val="17"/>
              </w:rPr>
              <w:t>15</w:t>
            </w:r>
          </w:p>
        </w:tc>
      </w:tr>
      <w:tr>
        <w:tc>
          <w:tcPr>
            <w:tcW w:type="dxa" w:w="3168"/>
          </w:tcPr>
          <w:p>
            <w:pPr>
              <w:spacing w:after="40"/>
            </w:pPr>
            <w:r/>
            <w:r>
              <w:rPr>
                <w:color w:val="222222"/>
                <w:sz w:val="17"/>
              </w:rPr>
              <w:t>Torrance</w:t>
            </w:r>
          </w:p>
        </w:tc>
        <w:tc>
          <w:tcPr>
            <w:tcW w:type="dxa" w:w="1440"/>
          </w:tcPr>
          <w:p>
            <w:pPr>
              <w:spacing w:after="40"/>
            </w:pPr>
            <w:r/>
            <w:r>
              <w:rPr>
                <w:color w:val="222222"/>
                <w:sz w:val="17"/>
              </w:rPr>
              <w:t>Tier 3</w:t>
            </w:r>
          </w:p>
        </w:tc>
        <w:tc>
          <w:tcPr>
            <w:tcW w:type="dxa" w:w="2304"/>
          </w:tcPr>
          <w:p>
            <w:pPr>
              <w:spacing w:after="40"/>
            </w:pPr>
            <w:r/>
            <w:r>
              <w:rPr>
                <w:color w:val="222222"/>
                <w:sz w:val="17"/>
              </w:rPr>
              <w:t>15</w:t>
            </w:r>
          </w:p>
        </w:tc>
      </w:tr>
      <w:tr>
        <w:tc>
          <w:tcPr>
            <w:tcW w:type="dxa" w:w="3168"/>
          </w:tcPr>
          <w:p>
            <w:pPr>
              <w:spacing w:after="40"/>
            </w:pPr>
            <w:r/>
            <w:r>
              <w:rPr>
                <w:color w:val="222222"/>
                <w:sz w:val="17"/>
              </w:rPr>
              <w:t>Merrifield</w:t>
            </w:r>
          </w:p>
        </w:tc>
        <w:tc>
          <w:tcPr>
            <w:tcW w:type="dxa" w:w="1440"/>
          </w:tcPr>
          <w:p>
            <w:pPr>
              <w:spacing w:after="40"/>
            </w:pPr>
            <w:r/>
            <w:r>
              <w:rPr>
                <w:color w:val="222222"/>
                <w:sz w:val="17"/>
              </w:rPr>
              <w:t>Tier 2</w:t>
            </w:r>
          </w:p>
        </w:tc>
        <w:tc>
          <w:tcPr>
            <w:tcW w:type="dxa" w:w="2304"/>
          </w:tcPr>
          <w:p>
            <w:pPr>
              <w:spacing w:after="40"/>
            </w:pPr>
            <w:r/>
            <w:r>
              <w:rPr>
                <w:color w:val="222222"/>
                <w:sz w:val="17"/>
              </w:rPr>
              <w:t>22</w:t>
            </w:r>
          </w:p>
        </w:tc>
      </w:tr>
      <w:tr>
        <w:tc>
          <w:tcPr>
            <w:tcW w:type="dxa" w:w="3168"/>
          </w:tcPr>
          <w:p>
            <w:pPr>
              <w:spacing w:after="40"/>
            </w:pPr>
            <w:r/>
            <w:r>
              <w:rPr>
                <w:color w:val="222222"/>
                <w:sz w:val="17"/>
              </w:rPr>
              <w:t>St. Louis Park</w:t>
            </w:r>
          </w:p>
        </w:tc>
        <w:tc>
          <w:tcPr>
            <w:tcW w:type="dxa" w:w="1440"/>
          </w:tcPr>
          <w:p>
            <w:pPr>
              <w:spacing w:after="40"/>
            </w:pPr>
            <w:r/>
            <w:r>
              <w:rPr>
                <w:color w:val="222222"/>
                <w:sz w:val="17"/>
              </w:rPr>
              <w:t>Tier 3</w:t>
            </w:r>
          </w:p>
        </w:tc>
        <w:tc>
          <w:tcPr>
            <w:tcW w:type="dxa" w:w="2304"/>
          </w:tcPr>
          <w:p>
            <w:pPr>
              <w:spacing w:after="40"/>
            </w:pPr>
            <w:r/>
            <w:r>
              <w:rPr>
                <w:color w:val="222222"/>
                <w:sz w:val="17"/>
              </w:rPr>
              <w:t>23</w:t>
            </w:r>
          </w:p>
        </w:tc>
      </w:tr>
    </w:tbl>
    <w:p>
      <w:pPr>
        <w:spacing w:after="40"/>
      </w:pPr>
    </w:p>
    <w:p>
      <w:pPr>
        <w:spacing w:before="260" w:after="80"/>
      </w:pPr>
      <w:r>
        <w:rPr>
          <w:b/>
          <w:color w:val="222222"/>
          <w:sz w:val="20"/>
        </w:rPr>
        <w:t>WE MAY NOT BE ABLE TO COMPLETE THIS IN THE CURRENT STATE</w:t>
      </w:r>
    </w:p>
    <w:p>
      <w:r>
        <w:rPr>
          <w:color w:val="222222"/>
        </w:rPr>
        <w:t>This plan describes the destination. It does not assume we reach all of it, and the board should hear that directly rather than discover it later.</w:t>
      </w:r>
    </w:p>
    <w:p>
      <w:pPr>
        <w:pStyle w:val="ListBullet"/>
        <w:spacing w:after="60"/>
      </w:pPr>
      <w:r>
        <w:rPr>
          <w:b/>
          <w:color w:val="222222"/>
        </w:rPr>
        <w:t xml:space="preserve">Budget. </w:t>
      </w:r>
      <w:r>
        <w:rPr>
          <w:color w:val="222222"/>
        </w:rPr>
        <w:t>Every intervention carries cost, and cost modeling is not yet built because the studio dataset does not carry compensation. The full plan may exceed what the P and L can absorb in a single year.</w:t>
      </w:r>
    </w:p>
    <w:p>
      <w:pPr>
        <w:pStyle w:val="ListBullet"/>
        <w:spacing w:after="60"/>
      </w:pPr>
      <w:r>
        <w:rPr>
          <w:b/>
          <w:color w:val="222222"/>
        </w:rPr>
        <w:t xml:space="preserve">Hiring capacity. </w:t>
      </w:r>
      <w:r>
        <w:rPr>
          <w:color w:val="222222"/>
        </w:rPr>
        <w:t>Reaching 39 members network wide would require 5,818 additional support team members. In tight labor markets, that volume of hiring is not achievable on any near term timeline regardless of budget.</w:t>
      </w:r>
    </w:p>
    <w:p>
      <w:pPr>
        <w:pStyle w:val="ListBullet"/>
        <w:spacing w:after="60"/>
      </w:pPr>
      <w:r>
        <w:rPr>
          <w:b/>
          <w:color w:val="222222"/>
        </w:rPr>
        <w:t xml:space="preserve">Sequencing time. </w:t>
      </w:r>
      <w:r>
        <w:rPr>
          <w:color w:val="222222"/>
        </w:rPr>
        <w:t>A Coordinator hire has to land and stabilize before wage and hour work can follow. For the twelve three action studios, that is a multi quarter sequence per studio, not a single cycle.</w:t>
      </w:r>
    </w:p>
    <w:p>
      <w:pPr>
        <w:pStyle w:val="ListBullet"/>
        <w:spacing w:after="60"/>
      </w:pPr>
      <w:r>
        <w:rPr>
          <w:b/>
          <w:color w:val="222222"/>
        </w:rPr>
        <w:t xml:space="preserve">Profitability gates. </w:t>
      </w:r>
      <w:r>
        <w:rPr>
          <w:color w:val="222222"/>
        </w:rPr>
        <w:t>Some studios flagged for a Coordinator are unprofitable today. The profitability gate may hold them at step B indefinitely, which means they stay below standard.</w:t>
      </w:r>
    </w:p>
    <w:p>
      <w:pPr>
        <w:spacing w:before="120" w:after="200"/>
        <w:ind w:left="216"/>
        <w:pBdr>
          <w:left w:val="single" w:sz="18" w:color="FF8200" w:space="8"/>
        </w:pBdr>
      </w:pPr>
      <w:r>
        <w:rPr>
          <w:b/>
          <w:color w:val="222222"/>
        </w:rPr>
        <w:t xml:space="preserve">The honest framing. </w:t>
      </w:r>
      <w:r>
        <w:rPr>
          <w:color w:val="222222"/>
          <w:sz w:val="20"/>
        </w:rPr>
        <w:t>Treat this as a prioritized path rather than a commitment to reach every studio. The sequence tells us what to do first and what not to waste money on. It does not promise full coverage in the current state.</w:t>
      </w:r>
    </w:p>
    <w:p>
      <w:pPr>
        <w:spacing w:before="260" w:after="80"/>
      </w:pPr>
      <w:r>
        <w:rPr>
          <w:b/>
          <w:color w:val="222222"/>
          <w:sz w:val="20"/>
        </w:rPr>
        <w:t>WHERE THE NETWORK SITS TODAY</w:t>
      </w:r>
    </w:p>
    <w:p>
      <w:r>
        <w:rPr>
          <w:color w:val="222222"/>
        </w:rPr>
        <w:t>Two studios out of 221 currently meet the standard. The remaining 219 sit at one of the first three actionable steps.</w:t>
      </w:r>
    </w:p>
    <w:p>
      <w:r>
        <w:rPr>
          <w:color w:val="222222"/>
        </w:rPr>
        <w:t>Step E shows zero. That is correct and it is intentional. No studio has yet worked through wage and hour adjustment, so no studio has earned its way to the dedicated cleaner conversation.</w:t>
      </w:r>
    </w:p>
    <w:p>
      <w:pPr>
        <w:spacing w:before="260" w:after="80"/>
      </w:pPr>
      <w:r>
        <w:rPr>
          <w:b/>
          <w:color w:val="222222"/>
          <w:sz w:val="20"/>
        </w:rPr>
        <w:t>SCOPING STEP E IN ADVANCE</w:t>
      </w:r>
    </w:p>
    <w:p>
      <w:r>
        <w:rPr>
          <w:color w:val="222222"/>
        </w:rPr>
        <w:t>Waiting until studios formally arrive at step E would leave us scoping a significant investment under time pressure. Instead we flag likely candidates now. Four conditions have to hold at once.</w:t>
      </w:r>
    </w:p>
    <w:p>
      <w:pPr>
        <w:pStyle w:val="ListBullet"/>
        <w:spacing w:after="60"/>
      </w:pPr>
      <w:r>
        <w:rPr>
          <w:b/>
          <w:color w:val="222222"/>
        </w:rPr>
        <w:t xml:space="preserve">A high wage market. </w:t>
      </w:r>
      <w:r>
        <w:rPr>
          <w:color w:val="222222"/>
        </w:rPr>
        <w:t>Support team recruitment at minimum wage is structurally difficult here.</w:t>
      </w:r>
    </w:p>
    <w:p>
      <w:pPr>
        <w:pStyle w:val="ListBullet"/>
        <w:spacing w:after="60"/>
      </w:pPr>
      <w:r>
        <w:rPr>
          <w:b/>
          <w:color w:val="222222"/>
        </w:rPr>
        <w:t xml:space="preserve">180 or more daily visits. </w:t>
      </w:r>
      <w:r>
        <w:rPr>
          <w:color w:val="222222"/>
        </w:rPr>
        <w:t>The cleaning load is heavy and continuous.</w:t>
      </w:r>
    </w:p>
    <w:p>
      <w:pPr>
        <w:pStyle w:val="ListBullet"/>
        <w:spacing w:after="60"/>
      </w:pPr>
      <w:r>
        <w:rPr>
          <w:b/>
          <w:color w:val="222222"/>
        </w:rPr>
        <w:t xml:space="preserve">The studio is profitable. </w:t>
      </w:r>
      <w:r>
        <w:rPr>
          <w:color w:val="222222"/>
        </w:rPr>
        <w:t>Dedicated cleaners are the most expensive intervention in the sequence. A studio that is not profitable does not qualify regardless of how stretched its team is.</w:t>
      </w:r>
    </w:p>
    <w:p>
      <w:pPr>
        <w:pStyle w:val="ListBullet"/>
        <w:spacing w:after="60"/>
      </w:pPr>
      <w:r>
        <w:rPr>
          <w:b/>
          <w:color w:val="222222"/>
        </w:rPr>
        <w:t xml:space="preserve">25 or fewer support team members today. </w:t>
      </w:r>
      <w:r>
        <w:rPr>
          <w:color w:val="222222"/>
        </w:rPr>
        <w:t>A studio sitting at 30 members needs 9 more people, not a dedicated cleaner. Above 25 the gap is close enough that hiring closes it. Below 25, in an expensive market at high traffic, hiring alone realistically will not.</w:t>
      </w:r>
    </w:p>
    <w:p>
      <w:pPr>
        <w:spacing w:before="120" w:after="200"/>
        <w:ind w:left="216"/>
        <w:pBdr>
          <w:left w:val="single" w:sz="18" w:color="FF8200" w:space="8"/>
        </w:pBdr>
      </w:pPr>
      <w:r>
        <w:rPr>
          <w:b/>
          <w:color w:val="222222"/>
        </w:rPr>
        <w:t xml:space="preserve">Likely step E. </w:t>
      </w:r>
      <w:r>
        <w:rPr>
          <w:color w:val="222222"/>
          <w:sz w:val="20"/>
        </w:rPr>
        <w:t>55 studios carry this flag. All of them sit in Tier 1 or Tier 2, and the median among them is 25 members short of the standard. None are at step E today.</w:t>
      </w:r>
    </w:p>
    <w:p>
      <w:pPr>
        <w:spacing w:before="260" w:after="80"/>
      </w:pPr>
      <w:r>
        <w:rPr>
          <w:b/>
          <w:color w:val="222222"/>
          <w:sz w:val="20"/>
        </w:rPr>
        <w:t>WHAT THE MEMBER DATA DOES AND DOES NOT TELL US</w:t>
      </w:r>
    </w:p>
    <w:p>
      <w:r>
        <w:rPr>
          <w:color w:val="222222"/>
        </w:rPr>
        <w:t>We tested whether support team staffing predicts member sentiment. Across 202 studios with at least ten Listen360 reviews, the relationship is effectively zero. Support team headcount against net promoter score returns a correlation of negative 0.117. The gap to 39 against score returns positive 0.116. Members per 100 daily visits returns negative 0.175. Anything below roughly 0.3 is noise.</w:t>
      </w:r>
    </w:p>
    <w:p>
      <w:pPr>
        <w:spacing w:before="120" w:after="200"/>
        <w:ind w:left="216"/>
        <w:pBdr>
          <w:left w:val="single" w:sz="18" w:color="FF8200" w:space="8"/>
        </w:pBdr>
      </w:pPr>
      <w:r>
        <w:rPr>
          <w:b/>
          <w:color w:val="222222"/>
        </w:rPr>
        <w:t xml:space="preserve">What this means. </w:t>
      </w:r>
      <w:r>
        <w:rPr>
          <w:color w:val="222222"/>
          <w:sz w:val="20"/>
        </w:rPr>
        <w:t>There is no evidence in the current data that adding support team headcount lifts member sentiment. The case for this investment is a brand standard and an operational floor, not a satisfaction play. If we present it as a sentiment lever, the data will not hold.</w:t>
      </w:r>
    </w:p>
    <w:p>
      <w:r>
        <w:rPr>
          <w:color w:val="222222"/>
        </w:rPr>
        <w:t>The complaint data supports that reading. Network median score sits at 79 and only 11 studios fall below 50, yet 94 studios carry at least one cleanliness complaint theme. Complaints cluster rather than distribute, which means blanket headcount across 221 studios is not aimed at where the problem actually shows up. A full treatment is in the accompanying correlation analysis.</w:t>
      </w:r>
    </w:p>
    <w:p>
      <w:pPr>
        <w:spacing w:before="260" w:after="80"/>
      </w:pPr>
      <w:r>
        <w:rPr>
          <w:b/>
          <w:color w:val="222222"/>
          <w:sz w:val="20"/>
        </w:rPr>
        <w:t>ON MATFRESHER</w:t>
      </w:r>
    </w:p>
    <w:p>
      <w:r>
        <w:rPr>
          <w:color w:val="222222"/>
        </w:rPr>
        <w:t>39 studios are flagged for MatFresher based on mat rental revenue. MatFresher is never a standalone answer. Refreshing mats at a studio that lacks the labor to clean them delays the same failure by a quarter. It pairs with a wage or hour intervention or it waits.</w:t>
      </w:r>
    </w:p>
    <w:p>
      <w:r>
        <w:rPr>
          <w:color w:val="222222"/>
        </w:rPr>
        <w:t>Worth noting that the MatFresher population and the largest gap population barely overlap. Only two of the thirty studios furthest from the standard carry a MatFresher flag. These are two different programs aimed at two different parts of the network.</w:t>
      </w:r>
    </w:p>
    <w:p>
      <w:pPr>
        <w:spacing w:before="260" w:after="80"/>
      </w:pPr>
      <w:r>
        <w:rPr>
          <w:b/>
          <w:color w:val="222222"/>
          <w:sz w:val="20"/>
        </w:rPr>
        <w:t>THE SCALE OF THE GAP</w:t>
      </w:r>
    </w:p>
    <w:p>
      <w:r>
        <w:rPr>
          <w:color w:val="222222"/>
        </w:rPr>
        <w:t>Closing the network gap purely through headcount would require 5,818 additional support team members. That number is the argument for the hours path. Most studios do not need to double their roster. They need the roster they have covering more of the week.</w:t>
      </w:r>
    </w:p>
    <w:p>
      <w:pPr>
        <w:spacing w:before="260" w:after="80"/>
      </w:pPr>
      <w:r>
        <w:rPr>
          <w:b/>
          <w:color w:val="222222"/>
          <w:sz w:val="20"/>
        </w:rPr>
        <w:t>WHAT THIS MEMO DOES NOT INCLUDE</w:t>
      </w:r>
    </w:p>
    <w:p>
      <w:pPr>
        <w:pStyle w:val="ListBullet"/>
        <w:spacing w:after="60"/>
      </w:pPr>
      <w:r>
        <w:rPr>
          <w:b/>
          <w:color w:val="222222"/>
        </w:rPr>
        <w:t xml:space="preserve">Cost modeling. </w:t>
      </w:r>
      <w:r>
        <w:rPr>
          <w:color w:val="222222"/>
        </w:rPr>
        <w:t>The studio dataset carries headcount, attendance, and profitability. It does not carry compensation. The investment case requires the market level salary file.</w:t>
      </w:r>
    </w:p>
    <w:p>
      <w:pPr>
        <w:pStyle w:val="ListBullet"/>
        <w:spacing w:after="60"/>
      </w:pPr>
      <w:r>
        <w:rPr>
          <w:b/>
          <w:color w:val="222222"/>
        </w:rPr>
        <w:t xml:space="preserve">A verified dedicated cleaner population. </w:t>
      </w:r>
      <w:r>
        <w:rPr>
          <w:color w:val="222222"/>
        </w:rPr>
        <w:t>A flag was scoped in September but was never written back to the studio data. The population needs rebuilding from the source labor file before any count is published.</w:t>
      </w:r>
    </w:p>
    <w:p>
      <w:pPr>
        <w:spacing w:before="320"/>
        <w:pBdr>
          <w:top w:val="single" w:sz="6" w:color="D2D2D2"/>
        </w:pBdr>
      </w:pPr>
      <w:r>
        <w:rPr>
          <w:color w:val="999999"/>
          <w:sz w:val="15"/>
        </w:rPr>
        <w:t>CorePower Yoga  |  Prepared by Michelle Salvatore, SVP Head of Operations  |  September 2026  |  Source: studio payroll and attendance data, 221 active studios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